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9B426" w14:textId="77777777" w:rsidR="0093041B" w:rsidRPr="00901B11" w:rsidRDefault="00A569B6" w:rsidP="00934F3F">
      <w:pPr>
        <w:spacing w:after="0"/>
        <w:ind w:left="-284" w:right="-448"/>
        <w:rPr>
          <w:sz w:val="28"/>
          <w:szCs w:val="28"/>
          <w:u w:val="single"/>
        </w:rPr>
      </w:pPr>
      <w:r w:rsidRPr="00901B11">
        <w:rPr>
          <w:b/>
          <w:sz w:val="28"/>
          <w:szCs w:val="28"/>
          <w:u w:val="single"/>
        </w:rPr>
        <w:t>Extension of Term</w:t>
      </w:r>
      <w:r w:rsidR="00B46BCE" w:rsidRPr="00901B11">
        <w:rPr>
          <w:b/>
          <w:sz w:val="28"/>
          <w:szCs w:val="28"/>
          <w:u w:val="single"/>
        </w:rPr>
        <w:t xml:space="preserve"> / Renewal</w:t>
      </w:r>
      <w:r w:rsidR="007A28E5" w:rsidRPr="00901B11">
        <w:rPr>
          <w:b/>
          <w:sz w:val="28"/>
          <w:szCs w:val="28"/>
          <w:u w:val="single"/>
        </w:rPr>
        <w:t xml:space="preserve"> (NT</w:t>
      </w:r>
      <w:r w:rsidR="00F90B4D" w:rsidRPr="00901B11">
        <w:rPr>
          <w:b/>
          <w:sz w:val="28"/>
          <w:szCs w:val="28"/>
          <w:u w:val="single"/>
        </w:rPr>
        <w:t>)</w:t>
      </w:r>
      <w:r w:rsidR="0093041B" w:rsidRPr="00901B11">
        <w:rPr>
          <w:b/>
          <w:sz w:val="28"/>
          <w:szCs w:val="28"/>
          <w:u w:val="single"/>
        </w:rPr>
        <w:t xml:space="preserve"> Action Definition</w:t>
      </w:r>
    </w:p>
    <w:p w14:paraId="0600D679" w14:textId="77777777" w:rsidR="00934F3F" w:rsidRPr="00901B11" w:rsidRDefault="00934F3F" w:rsidP="00934F3F">
      <w:pPr>
        <w:spacing w:after="120"/>
        <w:ind w:left="-284" w:right="-448"/>
        <w:rPr>
          <w:szCs w:val="24"/>
        </w:rPr>
      </w:pPr>
      <w:r w:rsidRPr="00901B11">
        <w:rPr>
          <w:szCs w:val="24"/>
        </w:rPr>
        <w:t>Thi</w:t>
      </w:r>
      <w:r w:rsidR="003B7572" w:rsidRPr="00901B11">
        <w:rPr>
          <w:szCs w:val="24"/>
        </w:rPr>
        <w:t>s action definition describes a Renewal</w:t>
      </w:r>
      <w:r w:rsidRPr="00901B11">
        <w:rPr>
          <w:szCs w:val="24"/>
        </w:rPr>
        <w:t xml:space="preserve"> of Term for </w:t>
      </w:r>
      <w:r w:rsidR="003B7572" w:rsidRPr="00901B11">
        <w:rPr>
          <w:szCs w:val="24"/>
        </w:rPr>
        <w:t>NT</w:t>
      </w:r>
      <w:r w:rsidRPr="00901B11">
        <w:rPr>
          <w:szCs w:val="24"/>
        </w:rPr>
        <w:t xml:space="preserve"> Mineral Titles.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934F3F" w:rsidRPr="00901B11" w14:paraId="1C408DB2" w14:textId="77777777" w:rsidTr="00FD33EE">
        <w:tc>
          <w:tcPr>
            <w:tcW w:w="3369" w:type="dxa"/>
          </w:tcPr>
          <w:p w14:paraId="69308A11" w14:textId="77777777" w:rsidR="00934F3F" w:rsidRPr="00901B11" w:rsidRDefault="00934F3F" w:rsidP="00FD33EE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062D8B2A" w14:textId="77777777" w:rsidR="00934F3F" w:rsidRPr="00901B11" w:rsidRDefault="00934F3F" w:rsidP="00FD33EE">
            <w:pPr>
              <w:rPr>
                <w:sz w:val="24"/>
                <w:szCs w:val="24"/>
              </w:rPr>
            </w:pPr>
          </w:p>
        </w:tc>
      </w:tr>
    </w:tbl>
    <w:p w14:paraId="7388AB6B" w14:textId="77777777" w:rsidR="00934F3F" w:rsidRPr="00901B11" w:rsidRDefault="00934F3F" w:rsidP="00934F3F">
      <w:pPr>
        <w:spacing w:after="0"/>
        <w:ind w:left="-284" w:right="-166"/>
        <w:rPr>
          <w:sz w:val="24"/>
          <w:szCs w:val="24"/>
        </w:rPr>
      </w:pPr>
    </w:p>
    <w:p w14:paraId="5D252C31" w14:textId="77777777" w:rsidR="00934F3F" w:rsidRPr="00901B11" w:rsidRDefault="00934F3F" w:rsidP="00092044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417"/>
        <w:gridCol w:w="6379"/>
      </w:tblGrid>
      <w:tr w:rsidR="00B340AC" w:rsidRPr="00901B11" w14:paraId="5CEA8A85" w14:textId="77777777" w:rsidTr="00A33A0B">
        <w:tc>
          <w:tcPr>
            <w:tcW w:w="11199" w:type="dxa"/>
            <w:gridSpan w:val="3"/>
            <w:shd w:val="pct15" w:color="auto" w:fill="auto"/>
          </w:tcPr>
          <w:p w14:paraId="761D4B9C" w14:textId="77777777" w:rsidR="00B340AC" w:rsidRPr="00901B11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 xml:space="preserve">Action </w:t>
            </w:r>
            <w:r w:rsidR="00C30241" w:rsidRPr="00901B11">
              <w:rPr>
                <w:b/>
                <w:sz w:val="24"/>
                <w:szCs w:val="24"/>
              </w:rPr>
              <w:t>Trigger</w:t>
            </w:r>
          </w:p>
        </w:tc>
      </w:tr>
      <w:tr w:rsidR="00237883" w:rsidRPr="00901B11" w14:paraId="69E0E4F7" w14:textId="77777777" w:rsidTr="0029668B">
        <w:tc>
          <w:tcPr>
            <w:tcW w:w="3403" w:type="dxa"/>
          </w:tcPr>
          <w:p w14:paraId="2CD0EB0E" w14:textId="77777777" w:rsidR="00237883" w:rsidRPr="00901B11" w:rsidRDefault="00115EB4" w:rsidP="00865499">
            <w:pPr>
              <w:jc w:val="right"/>
              <w:rPr>
                <w:b/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Asset</w:t>
            </w:r>
            <w:r w:rsidR="00237883" w:rsidRPr="00901B11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5D650A6" w14:textId="77777777" w:rsidR="00237883" w:rsidRPr="00901B11" w:rsidRDefault="00237883" w:rsidP="00934F3F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>Tenement</w:t>
            </w:r>
          </w:p>
        </w:tc>
      </w:tr>
      <w:tr w:rsidR="00231448" w:rsidRPr="00901B11" w14:paraId="7AB53EFC" w14:textId="77777777" w:rsidTr="0029668B">
        <w:tc>
          <w:tcPr>
            <w:tcW w:w="3403" w:type="dxa"/>
          </w:tcPr>
          <w:p w14:paraId="73BCD0D0" w14:textId="77777777" w:rsidR="00231448" w:rsidRPr="00901B11" w:rsidRDefault="00231448" w:rsidP="00865499">
            <w:pPr>
              <w:jc w:val="right"/>
              <w:rPr>
                <w:b/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 xml:space="preserve">Action </w:t>
            </w:r>
            <w:r w:rsidR="00865499" w:rsidRPr="00901B11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DA3A9C9" w14:textId="77777777" w:rsidR="00231448" w:rsidRPr="00901B11" w:rsidRDefault="00A569B6" w:rsidP="00934F3F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>Extension of Term</w:t>
            </w:r>
            <w:r w:rsidR="00B46BCE" w:rsidRPr="00901B11">
              <w:rPr>
                <w:sz w:val="24"/>
                <w:szCs w:val="24"/>
              </w:rPr>
              <w:t xml:space="preserve"> / Renewal</w:t>
            </w:r>
          </w:p>
        </w:tc>
      </w:tr>
      <w:tr w:rsidR="00B340AC" w:rsidRPr="00901B11" w14:paraId="4A949D19" w14:textId="77777777" w:rsidTr="0029668B">
        <w:tc>
          <w:tcPr>
            <w:tcW w:w="3403" w:type="dxa"/>
          </w:tcPr>
          <w:p w14:paraId="163E47E1" w14:textId="77777777" w:rsidR="00B340AC" w:rsidRPr="00901B11" w:rsidRDefault="00B340AC" w:rsidP="00E91B3F">
            <w:pPr>
              <w:jc w:val="right"/>
              <w:rPr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E583FCD" w14:textId="3D091C5E" w:rsidR="00B340AC" w:rsidRPr="00901B11" w:rsidRDefault="00334530" w:rsidP="00934F3F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>{</w:t>
            </w:r>
            <w:r w:rsidR="00184F05" w:rsidRPr="00901B11">
              <w:rPr>
                <w:sz w:val="24"/>
                <w:szCs w:val="24"/>
              </w:rPr>
              <w:t>s</w:t>
            </w:r>
            <w:r w:rsidR="00B340AC" w:rsidRPr="00901B11">
              <w:rPr>
                <w:sz w:val="24"/>
                <w:szCs w:val="24"/>
              </w:rPr>
              <w:t>tatus</w:t>
            </w:r>
            <w:r w:rsidRPr="00901B11">
              <w:rPr>
                <w:sz w:val="24"/>
                <w:szCs w:val="24"/>
              </w:rPr>
              <w:t>}</w:t>
            </w:r>
            <w:r w:rsidR="00B340AC" w:rsidRPr="00901B11">
              <w:rPr>
                <w:sz w:val="24"/>
                <w:szCs w:val="24"/>
              </w:rPr>
              <w:t xml:space="preserve"> = Live</w:t>
            </w:r>
            <w:r w:rsidR="006A12C3" w:rsidRPr="00901B11">
              <w:rPr>
                <w:rStyle w:val="FootnoteReference"/>
                <w:sz w:val="24"/>
                <w:szCs w:val="24"/>
              </w:rPr>
              <w:footnoteReference w:id="1"/>
            </w:r>
          </w:p>
        </w:tc>
      </w:tr>
      <w:tr w:rsidR="00A301CB" w:rsidRPr="00901B11" w14:paraId="6B81359C" w14:textId="77777777" w:rsidTr="00FD33EE">
        <w:tc>
          <w:tcPr>
            <w:tcW w:w="3403" w:type="dxa"/>
          </w:tcPr>
          <w:p w14:paraId="425BAB36" w14:textId="77777777" w:rsidR="00A301CB" w:rsidRPr="00901B11" w:rsidRDefault="00A301CB" w:rsidP="00FD33EE">
            <w:pPr>
              <w:jc w:val="right"/>
              <w:rPr>
                <w:b/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1C41C5E" w14:textId="77777777" w:rsidR="00A301CB" w:rsidRPr="00901B11" w:rsidRDefault="00A301CB" w:rsidP="00FD33E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>Managed</w:t>
            </w:r>
          </w:p>
        </w:tc>
      </w:tr>
      <w:tr w:rsidR="006216E1" w:rsidRPr="00901B11" w14:paraId="227A3F5C" w14:textId="77777777" w:rsidTr="00FD33EE">
        <w:tc>
          <w:tcPr>
            <w:tcW w:w="3403" w:type="dxa"/>
          </w:tcPr>
          <w:p w14:paraId="39D8306E" w14:textId="6DDFDEA7" w:rsidR="006216E1" w:rsidRPr="00901B11" w:rsidRDefault="006216E1" w:rsidP="006216E1">
            <w:pPr>
              <w:jc w:val="right"/>
              <w:rPr>
                <w:b/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Unique Name Format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C6B0D2" w14:textId="09DF156C" w:rsidR="006216E1" w:rsidRPr="00901B11" w:rsidRDefault="00391864" w:rsidP="006216E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>Extension of Term / Renewal</w:t>
            </w:r>
            <w:r w:rsidR="006216E1" w:rsidRPr="00901B11">
              <w:rPr>
                <w:sz w:val="24"/>
                <w:szCs w:val="24"/>
              </w:rPr>
              <w:t>-{expiryDate:yyyy}</w:t>
            </w:r>
          </w:p>
        </w:tc>
      </w:tr>
      <w:tr w:rsidR="00A63FA3" w:rsidRPr="00901B11" w14:paraId="67FEAB71" w14:textId="77777777" w:rsidTr="00A63FA3">
        <w:tc>
          <w:tcPr>
            <w:tcW w:w="3403" w:type="dxa"/>
          </w:tcPr>
          <w:p w14:paraId="56F29E5A" w14:textId="77777777" w:rsidR="00A63FA3" w:rsidRPr="00901B11" w:rsidRDefault="00A63FA3" w:rsidP="00D25651">
            <w:pPr>
              <w:jc w:val="right"/>
              <w:rPr>
                <w:b/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34B1C620" w14:textId="263DA18E" w:rsidR="00A63FA3" w:rsidRPr="00901B11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 xml:space="preserve">Expiry 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230A94E4" w14:textId="75000B99" w:rsidR="00A63FA3" w:rsidRPr="00901B11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 xml:space="preserve">= </w:t>
            </w:r>
            <w:r w:rsidR="00334530" w:rsidRPr="00901B11">
              <w:rPr>
                <w:sz w:val="24"/>
                <w:szCs w:val="24"/>
              </w:rPr>
              <w:t>{</w:t>
            </w:r>
            <w:r w:rsidR="00013C74" w:rsidRPr="00901B11">
              <w:rPr>
                <w:sz w:val="24"/>
                <w:szCs w:val="24"/>
              </w:rPr>
              <w:t>expiry</w:t>
            </w:r>
            <w:r w:rsidRPr="00901B11">
              <w:rPr>
                <w:sz w:val="24"/>
                <w:szCs w:val="24"/>
              </w:rPr>
              <w:t>Date</w:t>
            </w:r>
            <w:r w:rsidR="00334530" w:rsidRPr="00901B11">
              <w:rPr>
                <w:sz w:val="24"/>
                <w:szCs w:val="24"/>
              </w:rPr>
              <w:t>}</w:t>
            </w:r>
            <w:r w:rsidRPr="00901B11">
              <w:rPr>
                <w:sz w:val="24"/>
                <w:szCs w:val="24"/>
              </w:rPr>
              <w:t xml:space="preserve"> + </w:t>
            </w:r>
            <w:r w:rsidR="00334530" w:rsidRPr="00901B11">
              <w:rPr>
                <w:sz w:val="24"/>
                <w:szCs w:val="24"/>
              </w:rPr>
              <w:t>{</w:t>
            </w:r>
            <w:r w:rsidR="008000DD" w:rsidRPr="00901B11">
              <w:rPr>
                <w:sz w:val="24"/>
                <w:szCs w:val="24"/>
              </w:rPr>
              <w:t>Interval</w:t>
            </w:r>
            <w:r w:rsidR="00334530" w:rsidRPr="00901B11">
              <w:rPr>
                <w:sz w:val="24"/>
                <w:szCs w:val="24"/>
              </w:rPr>
              <w:t>}</w:t>
            </w:r>
            <w:r w:rsidRPr="00901B11">
              <w:rPr>
                <w:rStyle w:val="FootnoteReference"/>
                <w:sz w:val="24"/>
                <w:szCs w:val="24"/>
              </w:rPr>
              <w:footnoteReference w:id="2"/>
            </w:r>
            <w:r w:rsidRPr="00901B11">
              <w:rPr>
                <w:sz w:val="24"/>
                <w:szCs w:val="24"/>
              </w:rPr>
              <w:t xml:space="preserve"> – 1 day</w:t>
            </w:r>
          </w:p>
        </w:tc>
      </w:tr>
      <w:tr w:rsidR="00A63FA3" w:rsidRPr="00901B11" w14:paraId="63EAD565" w14:textId="77777777" w:rsidTr="00A63FA3">
        <w:tc>
          <w:tcPr>
            <w:tcW w:w="3403" w:type="dxa"/>
          </w:tcPr>
          <w:p w14:paraId="30040C3B" w14:textId="77777777" w:rsidR="00A63FA3" w:rsidRPr="00901B11" w:rsidRDefault="00A63FA3" w:rsidP="00E91B3F">
            <w:pPr>
              <w:jc w:val="right"/>
              <w:rPr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265608C7" w14:textId="77777777" w:rsidR="00A63FA3" w:rsidRPr="00901B11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>Deadline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4D9B8FDC" w14:textId="22E99C5D" w:rsidR="00A63FA3" w:rsidRPr="00901B11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 xml:space="preserve">= </w:t>
            </w:r>
            <w:r w:rsidR="00334530" w:rsidRPr="00901B11">
              <w:rPr>
                <w:sz w:val="24"/>
                <w:szCs w:val="24"/>
              </w:rPr>
              <w:t>{</w:t>
            </w:r>
            <w:r w:rsidRPr="00901B11">
              <w:rPr>
                <w:sz w:val="24"/>
                <w:szCs w:val="24"/>
              </w:rPr>
              <w:t>Expiry</w:t>
            </w:r>
            <w:r w:rsidR="00334530" w:rsidRPr="00901B11">
              <w:rPr>
                <w:sz w:val="24"/>
                <w:szCs w:val="24"/>
              </w:rPr>
              <w:t>}</w:t>
            </w:r>
            <w:r w:rsidRPr="00901B11">
              <w:rPr>
                <w:sz w:val="24"/>
                <w:szCs w:val="24"/>
              </w:rPr>
              <w:t xml:space="preserve"> – 30 days</w:t>
            </w:r>
          </w:p>
        </w:tc>
      </w:tr>
    </w:tbl>
    <w:p w14:paraId="29842AD1" w14:textId="77777777" w:rsidR="007B0278" w:rsidRPr="00901B11" w:rsidRDefault="0029668B" w:rsidP="00934F3F">
      <w:pPr>
        <w:spacing w:after="240"/>
        <w:rPr>
          <w:sz w:val="18"/>
          <w:szCs w:val="18"/>
        </w:rPr>
      </w:pPr>
      <w:r w:rsidRPr="00901B11">
        <w:rPr>
          <w:i/>
          <w:sz w:val="18"/>
          <w:szCs w:val="18"/>
          <w:u w:val="single"/>
        </w:rPr>
        <w:t>Note</w:t>
      </w:r>
      <w:r w:rsidRPr="00901B11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1"/>
        <w:gridCol w:w="3401"/>
        <w:gridCol w:w="1417"/>
        <w:gridCol w:w="4709"/>
      </w:tblGrid>
      <w:tr w:rsidR="00B97185" w:rsidRPr="00901B11" w14:paraId="06EC5195" w14:textId="3705B6B8" w:rsidTr="00B97185">
        <w:tc>
          <w:tcPr>
            <w:tcW w:w="112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6B56C3" w14:textId="77777777" w:rsidR="00B97185" w:rsidRPr="00901B11" w:rsidRDefault="00B97185" w:rsidP="00934F3F">
            <w:pPr>
              <w:jc w:val="center"/>
              <w:rPr>
                <w:b/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Applies To</w:t>
            </w:r>
          </w:p>
        </w:tc>
      </w:tr>
      <w:tr w:rsidR="00B97185" w:rsidRPr="00901B11" w14:paraId="3A719E9B" w14:textId="77BB1AEC" w:rsidTr="00B97185">
        <w:tc>
          <w:tcPr>
            <w:tcW w:w="1701" w:type="dxa"/>
            <w:shd w:val="clear" w:color="auto" w:fill="D9D9D9" w:themeFill="background1" w:themeFillShade="D9"/>
          </w:tcPr>
          <w:p w14:paraId="33027355" w14:textId="77777777" w:rsidR="00B97185" w:rsidRPr="00901B11" w:rsidRDefault="00B97185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bookmarkStart w:id="0" w:name="_Hlk429579419"/>
            <w:r w:rsidRPr="00901B11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3401" w:type="dxa"/>
            <w:shd w:val="clear" w:color="auto" w:fill="D9D9D9" w:themeFill="background1" w:themeFillShade="D9"/>
          </w:tcPr>
          <w:p w14:paraId="000F522F" w14:textId="77777777" w:rsidR="00B97185" w:rsidRPr="00901B11" w:rsidRDefault="00B97185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901B11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6D0816E" w14:textId="77777777" w:rsidR="00B97185" w:rsidRPr="00901B11" w:rsidRDefault="00B97185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901B11">
              <w:rPr>
                <w:rFonts w:asciiTheme="minorHAnsi" w:hAnsiTheme="minorHAnsi"/>
                <w:b/>
                <w:szCs w:val="24"/>
              </w:rPr>
              <w:t>Version</w:t>
            </w:r>
          </w:p>
        </w:tc>
        <w:tc>
          <w:tcPr>
            <w:tcW w:w="4709" w:type="dxa"/>
            <w:shd w:val="clear" w:color="auto" w:fill="D9D9D9" w:themeFill="background1" w:themeFillShade="D9"/>
          </w:tcPr>
          <w:p w14:paraId="6802472E" w14:textId="3F471641" w:rsidR="00B97185" w:rsidRPr="00901B11" w:rsidRDefault="003F6BCB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901B11">
              <w:rPr>
                <w:rFonts w:asciiTheme="minorHAnsi" w:hAnsiTheme="minorHAnsi"/>
                <w:b/>
                <w:szCs w:val="24"/>
              </w:rPr>
              <w:t>Interval</w:t>
            </w:r>
          </w:p>
        </w:tc>
      </w:tr>
      <w:bookmarkEnd w:id="0"/>
      <w:tr w:rsidR="00B97185" w:rsidRPr="00901B11" w14:paraId="1C94291F" w14:textId="614B5EE6" w:rsidTr="00B97185">
        <w:tc>
          <w:tcPr>
            <w:tcW w:w="1701" w:type="dxa"/>
            <w:shd w:val="clear" w:color="auto" w:fill="D6E3BC" w:themeFill="accent3" w:themeFillTint="66"/>
          </w:tcPr>
          <w:p w14:paraId="33DE738E" w14:textId="77777777" w:rsidR="00B97185" w:rsidRPr="00901B11" w:rsidRDefault="00B97185" w:rsidP="00AA6931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901B11">
              <w:rPr>
                <w:rFonts w:asciiTheme="minorHAnsi" w:hAnsiTheme="minorHAnsi"/>
                <w:szCs w:val="24"/>
              </w:rPr>
              <w:t>NT</w:t>
            </w:r>
          </w:p>
        </w:tc>
        <w:tc>
          <w:tcPr>
            <w:tcW w:w="3401" w:type="dxa"/>
            <w:shd w:val="clear" w:color="auto" w:fill="D6E3BC" w:themeFill="accent3" w:themeFillTint="66"/>
          </w:tcPr>
          <w:p w14:paraId="7803E0DB" w14:textId="77777777" w:rsidR="00B97185" w:rsidRPr="00901B11" w:rsidRDefault="00B97185" w:rsidP="00AA6931">
            <w:pPr>
              <w:pStyle w:val="TextFieldStyle"/>
              <w:rPr>
                <w:szCs w:val="24"/>
              </w:rPr>
            </w:pPr>
            <w:r w:rsidRPr="00901B11">
              <w:rPr>
                <w:szCs w:val="24"/>
              </w:rPr>
              <w:t>Mineral Exploration Licence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47D61C55" w14:textId="77777777" w:rsidR="00B97185" w:rsidRPr="00901B11" w:rsidRDefault="00B97185" w:rsidP="00AA6931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09" w:type="dxa"/>
            <w:shd w:val="clear" w:color="auto" w:fill="D6E3BC" w:themeFill="accent3" w:themeFillTint="66"/>
          </w:tcPr>
          <w:p w14:paraId="7C09BC92" w14:textId="3F9F5F2E" w:rsidR="00B97185" w:rsidRPr="00901B11" w:rsidRDefault="00B97185" w:rsidP="00AA6931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 xml:space="preserve">0 years, every </w:t>
            </w:r>
            <w:r w:rsidR="00E67AAB" w:rsidRPr="00901B11">
              <w:rPr>
                <w:sz w:val="24"/>
                <w:szCs w:val="24"/>
              </w:rPr>
              <w:t>1</w:t>
            </w:r>
            <w:r w:rsidRPr="00901B11">
              <w:rPr>
                <w:sz w:val="24"/>
                <w:szCs w:val="24"/>
              </w:rPr>
              <w:t xml:space="preserve"> year</w:t>
            </w:r>
          </w:p>
        </w:tc>
      </w:tr>
      <w:tr w:rsidR="00B97185" w:rsidRPr="00901B11" w14:paraId="707EB333" w14:textId="6603ED70" w:rsidTr="00B97185">
        <w:tc>
          <w:tcPr>
            <w:tcW w:w="1701" w:type="dxa"/>
            <w:shd w:val="clear" w:color="auto" w:fill="D6E3BC" w:themeFill="accent3" w:themeFillTint="66"/>
          </w:tcPr>
          <w:p w14:paraId="7AFA5C4E" w14:textId="77777777" w:rsidR="00B97185" w:rsidRPr="00901B11" w:rsidRDefault="00B97185" w:rsidP="00AA6931">
            <w:r w:rsidRPr="00901B11">
              <w:rPr>
                <w:szCs w:val="24"/>
              </w:rPr>
              <w:t>NT</w:t>
            </w:r>
          </w:p>
        </w:tc>
        <w:tc>
          <w:tcPr>
            <w:tcW w:w="3401" w:type="dxa"/>
            <w:shd w:val="clear" w:color="auto" w:fill="D6E3BC" w:themeFill="accent3" w:themeFillTint="66"/>
          </w:tcPr>
          <w:p w14:paraId="71B41890" w14:textId="77777777" w:rsidR="00B97185" w:rsidRPr="00901B11" w:rsidRDefault="00B97185" w:rsidP="00AA6931">
            <w:pPr>
              <w:pStyle w:val="TextFieldStyle"/>
              <w:rPr>
                <w:szCs w:val="24"/>
              </w:rPr>
            </w:pPr>
            <w:r w:rsidRPr="00901B11">
              <w:rPr>
                <w:szCs w:val="24"/>
              </w:rPr>
              <w:t>Mineral Exploration Licence in Retention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251F52D0" w14:textId="77777777" w:rsidR="00B97185" w:rsidRPr="00901B11" w:rsidRDefault="00B97185" w:rsidP="00AA6931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4709" w:type="dxa"/>
            <w:shd w:val="clear" w:color="auto" w:fill="D6E3BC" w:themeFill="accent3" w:themeFillTint="66"/>
          </w:tcPr>
          <w:p w14:paraId="3DB8AAD6" w14:textId="27519A07" w:rsidR="00B97185" w:rsidRPr="00901B11" w:rsidRDefault="00B97185" w:rsidP="00AA6931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 xml:space="preserve">0 years, </w:t>
            </w:r>
            <w:r w:rsidR="00E67AAB" w:rsidRPr="00901B11">
              <w:rPr>
                <w:sz w:val="24"/>
                <w:szCs w:val="24"/>
              </w:rPr>
              <w:t>every 1 year</w:t>
            </w:r>
          </w:p>
        </w:tc>
      </w:tr>
      <w:tr w:rsidR="008722A3" w:rsidRPr="00901B11" w14:paraId="13A3FE23" w14:textId="66634AF4" w:rsidTr="00B97185">
        <w:tc>
          <w:tcPr>
            <w:tcW w:w="1701" w:type="dxa"/>
            <w:shd w:val="clear" w:color="auto" w:fill="D6E3BC" w:themeFill="accent3" w:themeFillTint="66"/>
          </w:tcPr>
          <w:p w14:paraId="47AD951A" w14:textId="06F02256" w:rsidR="008722A3" w:rsidRPr="00901B11" w:rsidRDefault="008722A3" w:rsidP="00AA6931">
            <w:r w:rsidRPr="00901B11">
              <w:rPr>
                <w:szCs w:val="24"/>
              </w:rPr>
              <w:t>NT</w:t>
            </w:r>
          </w:p>
        </w:tc>
        <w:tc>
          <w:tcPr>
            <w:tcW w:w="3401" w:type="dxa"/>
            <w:shd w:val="clear" w:color="auto" w:fill="D6E3BC" w:themeFill="accent3" w:themeFillTint="66"/>
          </w:tcPr>
          <w:p w14:paraId="693DDDBC" w14:textId="57236E1F" w:rsidR="008722A3" w:rsidRPr="00901B11" w:rsidRDefault="008722A3" w:rsidP="00AA6931">
            <w:pPr>
              <w:pStyle w:val="TextFieldStyle"/>
              <w:rPr>
                <w:szCs w:val="24"/>
              </w:rPr>
            </w:pPr>
            <w:r w:rsidRPr="00901B11">
              <w:rPr>
                <w:szCs w:val="24"/>
              </w:rPr>
              <w:t>Extractive Mineral Lease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05706698" w14:textId="77777777" w:rsidR="008722A3" w:rsidRPr="00901B11" w:rsidRDefault="008722A3" w:rsidP="00AA6931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D6E3BC" w:themeFill="accent3" w:themeFillTint="66"/>
          </w:tcPr>
          <w:p w14:paraId="441C7AE8" w14:textId="0BF4B4B5" w:rsidR="008722A3" w:rsidRPr="00901B11" w:rsidRDefault="008722A3" w:rsidP="00AA6931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>0 years</w:t>
            </w:r>
            <w:r w:rsidR="00E67AAB" w:rsidRPr="00901B11">
              <w:rPr>
                <w:sz w:val="24"/>
                <w:szCs w:val="24"/>
              </w:rPr>
              <w:t>, every 1 year</w:t>
            </w:r>
          </w:p>
        </w:tc>
      </w:tr>
      <w:tr w:rsidR="008722A3" w:rsidRPr="00901B11" w14:paraId="673CE535" w14:textId="50A400A1" w:rsidTr="00B97185">
        <w:tc>
          <w:tcPr>
            <w:tcW w:w="1701" w:type="dxa"/>
            <w:shd w:val="clear" w:color="auto" w:fill="D6E3BC" w:themeFill="accent3" w:themeFillTint="66"/>
          </w:tcPr>
          <w:p w14:paraId="15592EC1" w14:textId="5BC72FDF" w:rsidR="008722A3" w:rsidRPr="00901B11" w:rsidRDefault="008722A3" w:rsidP="00AA6931">
            <w:r w:rsidRPr="00901B11">
              <w:rPr>
                <w:szCs w:val="24"/>
              </w:rPr>
              <w:t>NT</w:t>
            </w:r>
          </w:p>
        </w:tc>
        <w:tc>
          <w:tcPr>
            <w:tcW w:w="3401" w:type="dxa"/>
            <w:shd w:val="clear" w:color="auto" w:fill="D6E3BC" w:themeFill="accent3" w:themeFillTint="66"/>
          </w:tcPr>
          <w:p w14:paraId="196351C5" w14:textId="0A21F5BB" w:rsidR="008722A3" w:rsidRPr="00901B11" w:rsidRDefault="008722A3" w:rsidP="00AA6931">
            <w:pPr>
              <w:pStyle w:val="TextFieldStyle"/>
              <w:rPr>
                <w:szCs w:val="24"/>
              </w:rPr>
            </w:pPr>
            <w:r w:rsidRPr="00901B11">
              <w:rPr>
                <w:szCs w:val="24"/>
              </w:rPr>
              <w:t>Extractive Mineral Permit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1244BA20" w14:textId="77777777" w:rsidR="008722A3" w:rsidRPr="00901B11" w:rsidRDefault="008722A3" w:rsidP="00AA6931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D6E3BC" w:themeFill="accent3" w:themeFillTint="66"/>
          </w:tcPr>
          <w:p w14:paraId="71A52302" w14:textId="3AB67AAA" w:rsidR="008722A3" w:rsidRPr="00901B11" w:rsidRDefault="008722A3" w:rsidP="00AA6931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 xml:space="preserve">0 years, </w:t>
            </w:r>
            <w:r w:rsidR="00E67AAB" w:rsidRPr="00901B11">
              <w:rPr>
                <w:sz w:val="24"/>
                <w:szCs w:val="24"/>
              </w:rPr>
              <w:t>every 1 year</w:t>
            </w:r>
          </w:p>
        </w:tc>
      </w:tr>
      <w:tr w:rsidR="008722A3" w:rsidRPr="00901B11" w14:paraId="6C591011" w14:textId="06980AFB" w:rsidTr="00B97185">
        <w:tc>
          <w:tcPr>
            <w:tcW w:w="1701" w:type="dxa"/>
            <w:shd w:val="clear" w:color="auto" w:fill="D6E3BC" w:themeFill="accent3" w:themeFillTint="66"/>
          </w:tcPr>
          <w:p w14:paraId="2632083C" w14:textId="09066121" w:rsidR="008722A3" w:rsidRPr="00901B11" w:rsidRDefault="008722A3" w:rsidP="00AA6931">
            <w:r w:rsidRPr="00901B11">
              <w:rPr>
                <w:szCs w:val="24"/>
              </w:rPr>
              <w:t>NT</w:t>
            </w:r>
          </w:p>
        </w:tc>
        <w:tc>
          <w:tcPr>
            <w:tcW w:w="3401" w:type="dxa"/>
            <w:shd w:val="clear" w:color="auto" w:fill="D6E3BC" w:themeFill="accent3" w:themeFillTint="66"/>
          </w:tcPr>
          <w:p w14:paraId="6872A170" w14:textId="3A17BBBB" w:rsidR="008722A3" w:rsidRPr="00901B11" w:rsidRDefault="008722A3" w:rsidP="00AA6931">
            <w:pPr>
              <w:pStyle w:val="TextFieldStyle"/>
              <w:rPr>
                <w:szCs w:val="24"/>
              </w:rPr>
            </w:pPr>
            <w:r w:rsidRPr="00901B11">
              <w:rPr>
                <w:szCs w:val="24"/>
              </w:rPr>
              <w:t>Mineral Authority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10A83602" w14:textId="77777777" w:rsidR="008722A3" w:rsidRPr="00901B11" w:rsidRDefault="008722A3" w:rsidP="00AA6931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D6E3BC" w:themeFill="accent3" w:themeFillTint="66"/>
          </w:tcPr>
          <w:p w14:paraId="202CA8EB" w14:textId="66F4B99C" w:rsidR="008722A3" w:rsidRPr="00901B11" w:rsidRDefault="008722A3" w:rsidP="00AA6931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>0 years, every 1 year</w:t>
            </w:r>
          </w:p>
        </w:tc>
      </w:tr>
      <w:tr w:rsidR="008722A3" w:rsidRPr="00901B11" w14:paraId="7259D126" w14:textId="00548DCA" w:rsidTr="00B97185">
        <w:tc>
          <w:tcPr>
            <w:tcW w:w="1701" w:type="dxa"/>
            <w:shd w:val="clear" w:color="auto" w:fill="D6E3BC" w:themeFill="accent3" w:themeFillTint="66"/>
          </w:tcPr>
          <w:p w14:paraId="2FCA4E11" w14:textId="6282DC0B" w:rsidR="008722A3" w:rsidRPr="00901B11" w:rsidRDefault="008722A3" w:rsidP="00AA6931">
            <w:r w:rsidRPr="00901B11">
              <w:rPr>
                <w:szCs w:val="24"/>
              </w:rPr>
              <w:t>NT</w:t>
            </w:r>
          </w:p>
        </w:tc>
        <w:tc>
          <w:tcPr>
            <w:tcW w:w="3401" w:type="dxa"/>
            <w:shd w:val="clear" w:color="auto" w:fill="D6E3BC" w:themeFill="accent3" w:themeFillTint="66"/>
          </w:tcPr>
          <w:p w14:paraId="7F21BF9C" w14:textId="3258812E" w:rsidR="008722A3" w:rsidRPr="00901B11" w:rsidRDefault="008722A3" w:rsidP="00AA6931">
            <w:pPr>
              <w:pStyle w:val="TextFieldStyle"/>
              <w:rPr>
                <w:szCs w:val="24"/>
              </w:rPr>
            </w:pPr>
            <w:r w:rsidRPr="00901B11">
              <w:rPr>
                <w:szCs w:val="24"/>
              </w:rPr>
              <w:t>Mineral Lease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4CC0B0EB" w14:textId="77777777" w:rsidR="008722A3" w:rsidRPr="00901B11" w:rsidRDefault="008722A3" w:rsidP="00AA6931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D6E3BC" w:themeFill="accent3" w:themeFillTint="66"/>
          </w:tcPr>
          <w:p w14:paraId="174FFAEB" w14:textId="79AD0AE3" w:rsidR="008722A3" w:rsidRPr="00901B11" w:rsidRDefault="008722A3" w:rsidP="00AA6931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>0 years, every 1 year</w:t>
            </w:r>
          </w:p>
        </w:tc>
      </w:tr>
      <w:tr w:rsidR="008722A3" w:rsidRPr="00901B11" w14:paraId="2B70B3A4" w14:textId="3C9D48B5" w:rsidTr="00B97185">
        <w:tc>
          <w:tcPr>
            <w:tcW w:w="1701" w:type="dxa"/>
            <w:shd w:val="clear" w:color="auto" w:fill="D6E3BC" w:themeFill="accent3" w:themeFillTint="66"/>
          </w:tcPr>
          <w:p w14:paraId="7AB99F74" w14:textId="354E1D14" w:rsidR="008722A3" w:rsidRPr="00901B11" w:rsidRDefault="008722A3" w:rsidP="00013C74">
            <w:r w:rsidRPr="00901B11">
              <w:rPr>
                <w:szCs w:val="24"/>
              </w:rPr>
              <w:t>NT</w:t>
            </w:r>
          </w:p>
        </w:tc>
        <w:tc>
          <w:tcPr>
            <w:tcW w:w="3401" w:type="dxa"/>
            <w:shd w:val="clear" w:color="auto" w:fill="D6E3BC" w:themeFill="accent3" w:themeFillTint="66"/>
          </w:tcPr>
          <w:p w14:paraId="3E2720B3" w14:textId="713F8911" w:rsidR="008722A3" w:rsidRPr="00901B11" w:rsidRDefault="008722A3" w:rsidP="00013C74">
            <w:pPr>
              <w:pStyle w:val="TextFieldStyle"/>
              <w:rPr>
                <w:szCs w:val="24"/>
              </w:rPr>
            </w:pPr>
            <w:r w:rsidRPr="00901B11">
              <w:rPr>
                <w:szCs w:val="24"/>
              </w:rPr>
              <w:t>Mineral Lease Central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7E1E3ABB" w14:textId="77777777" w:rsidR="008722A3" w:rsidRPr="00901B11" w:rsidRDefault="008722A3" w:rsidP="00013C74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D6E3BC" w:themeFill="accent3" w:themeFillTint="66"/>
          </w:tcPr>
          <w:p w14:paraId="68C0119D" w14:textId="4640A2A0" w:rsidR="008722A3" w:rsidRPr="00901B11" w:rsidRDefault="008722A3" w:rsidP="00013C74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>0 years, every 1 year</w:t>
            </w:r>
          </w:p>
        </w:tc>
      </w:tr>
      <w:tr w:rsidR="008722A3" w:rsidRPr="00901B11" w14:paraId="2E746F86" w14:textId="40B8A679" w:rsidTr="00B97185">
        <w:tc>
          <w:tcPr>
            <w:tcW w:w="1701" w:type="dxa"/>
            <w:shd w:val="clear" w:color="auto" w:fill="D6E3BC" w:themeFill="accent3" w:themeFillTint="66"/>
          </w:tcPr>
          <w:p w14:paraId="76CD4017" w14:textId="2EF57A9E" w:rsidR="008722A3" w:rsidRPr="00901B11" w:rsidRDefault="008722A3" w:rsidP="00013C74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901B11">
              <w:rPr>
                <w:szCs w:val="24"/>
              </w:rPr>
              <w:t>NT</w:t>
            </w:r>
          </w:p>
        </w:tc>
        <w:tc>
          <w:tcPr>
            <w:tcW w:w="3401" w:type="dxa"/>
            <w:shd w:val="clear" w:color="auto" w:fill="D6E3BC" w:themeFill="accent3" w:themeFillTint="66"/>
          </w:tcPr>
          <w:p w14:paraId="3B20BA5A" w14:textId="00A18874" w:rsidR="008722A3" w:rsidRPr="00901B11" w:rsidRDefault="008722A3" w:rsidP="00013C74">
            <w:pPr>
              <w:pStyle w:val="TextFieldStyle"/>
              <w:rPr>
                <w:szCs w:val="24"/>
              </w:rPr>
            </w:pPr>
            <w:r w:rsidRPr="00901B11">
              <w:rPr>
                <w:szCs w:val="24"/>
              </w:rPr>
              <w:t>Mineral Lease Northern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7199DC3E" w14:textId="77777777" w:rsidR="008722A3" w:rsidRPr="00901B11" w:rsidRDefault="008722A3" w:rsidP="00013C74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D6E3BC" w:themeFill="accent3" w:themeFillTint="66"/>
          </w:tcPr>
          <w:p w14:paraId="36A336A7" w14:textId="419AEB78" w:rsidR="008722A3" w:rsidRPr="00901B11" w:rsidRDefault="008722A3" w:rsidP="00013C74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 xml:space="preserve">0 </w:t>
            </w:r>
            <w:r w:rsidRPr="0072257E">
              <w:rPr>
                <w:sz w:val="24"/>
                <w:szCs w:val="24"/>
              </w:rPr>
              <w:t>years</w:t>
            </w:r>
            <w:r w:rsidR="00B634EC" w:rsidRPr="0072257E">
              <w:rPr>
                <w:sz w:val="24"/>
                <w:szCs w:val="24"/>
              </w:rPr>
              <w:t>,</w:t>
            </w:r>
            <w:r w:rsidRPr="0072257E">
              <w:rPr>
                <w:sz w:val="24"/>
                <w:szCs w:val="24"/>
              </w:rPr>
              <w:t xml:space="preserve"> every</w:t>
            </w:r>
            <w:r w:rsidRPr="00901B11">
              <w:rPr>
                <w:sz w:val="24"/>
                <w:szCs w:val="24"/>
              </w:rPr>
              <w:t xml:space="preserve"> 1 year</w:t>
            </w:r>
          </w:p>
        </w:tc>
      </w:tr>
      <w:tr w:rsidR="008722A3" w:rsidRPr="00901B11" w14:paraId="41731CA1" w14:textId="7DFDA2E6" w:rsidTr="00B97185">
        <w:tc>
          <w:tcPr>
            <w:tcW w:w="1701" w:type="dxa"/>
            <w:shd w:val="clear" w:color="auto" w:fill="D6E3BC" w:themeFill="accent3" w:themeFillTint="66"/>
          </w:tcPr>
          <w:p w14:paraId="5DC7837A" w14:textId="634AD11D" w:rsidR="008722A3" w:rsidRPr="00901B11" w:rsidRDefault="008722A3" w:rsidP="00013C74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901B11">
              <w:rPr>
                <w:szCs w:val="24"/>
              </w:rPr>
              <w:t>NT</w:t>
            </w:r>
          </w:p>
        </w:tc>
        <w:tc>
          <w:tcPr>
            <w:tcW w:w="3401" w:type="dxa"/>
            <w:shd w:val="clear" w:color="auto" w:fill="D6E3BC" w:themeFill="accent3" w:themeFillTint="66"/>
          </w:tcPr>
          <w:p w14:paraId="4A0BD4F5" w14:textId="2218D1C9" w:rsidR="008722A3" w:rsidRPr="00901B11" w:rsidRDefault="008722A3" w:rsidP="00013C74">
            <w:pPr>
              <w:pStyle w:val="TextFieldStyle"/>
              <w:rPr>
                <w:szCs w:val="24"/>
              </w:rPr>
            </w:pPr>
            <w:r w:rsidRPr="00901B11">
              <w:rPr>
                <w:szCs w:val="24"/>
              </w:rPr>
              <w:t>Mineral Lease Southern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42F59B96" w14:textId="77777777" w:rsidR="008722A3" w:rsidRPr="00901B11" w:rsidRDefault="008722A3" w:rsidP="00013C74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D6E3BC" w:themeFill="accent3" w:themeFillTint="66"/>
          </w:tcPr>
          <w:p w14:paraId="635EA880" w14:textId="5F3553AE" w:rsidR="008722A3" w:rsidRPr="00901B11" w:rsidRDefault="008722A3" w:rsidP="00013C74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>0 years, every 1 year</w:t>
            </w:r>
          </w:p>
        </w:tc>
      </w:tr>
      <w:tr w:rsidR="008722A3" w:rsidRPr="00901B11" w14:paraId="4362ED90" w14:textId="51A73E56" w:rsidTr="00B97185">
        <w:tc>
          <w:tcPr>
            <w:tcW w:w="1701" w:type="dxa"/>
            <w:shd w:val="clear" w:color="auto" w:fill="D6E3BC" w:themeFill="accent3" w:themeFillTint="66"/>
          </w:tcPr>
          <w:p w14:paraId="321ACF75" w14:textId="5048D18F" w:rsidR="008722A3" w:rsidRPr="00901B11" w:rsidRDefault="008722A3" w:rsidP="00013C74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901B11">
              <w:rPr>
                <w:rFonts w:asciiTheme="minorHAnsi" w:hAnsiTheme="minorHAnsi"/>
                <w:szCs w:val="24"/>
              </w:rPr>
              <w:t>NT</w:t>
            </w:r>
          </w:p>
        </w:tc>
        <w:tc>
          <w:tcPr>
            <w:tcW w:w="3401" w:type="dxa"/>
            <w:shd w:val="clear" w:color="auto" w:fill="D6E3BC" w:themeFill="accent3" w:themeFillTint="66"/>
          </w:tcPr>
          <w:p w14:paraId="49958648" w14:textId="4A2B9DD4" w:rsidR="008722A3" w:rsidRPr="00901B11" w:rsidRDefault="008722A3" w:rsidP="00013C74">
            <w:pPr>
              <w:pStyle w:val="TextFieldStyle"/>
              <w:rPr>
                <w:szCs w:val="24"/>
              </w:rPr>
            </w:pPr>
            <w:r w:rsidRPr="00901B11">
              <w:rPr>
                <w:szCs w:val="24"/>
              </w:rPr>
              <w:t>Mining Claim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084D5CA4" w14:textId="77777777" w:rsidR="008722A3" w:rsidRPr="00901B11" w:rsidRDefault="008722A3" w:rsidP="00013C74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D6E3BC" w:themeFill="accent3" w:themeFillTint="66"/>
          </w:tcPr>
          <w:p w14:paraId="1AE7A2F2" w14:textId="0091468F" w:rsidR="008722A3" w:rsidRPr="00901B11" w:rsidRDefault="008722A3" w:rsidP="00013C74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 xml:space="preserve">0 years, </w:t>
            </w:r>
            <w:r w:rsidR="00E67AAB" w:rsidRPr="00901B11">
              <w:rPr>
                <w:sz w:val="24"/>
                <w:szCs w:val="24"/>
              </w:rPr>
              <w:t>every 1 year</w:t>
            </w:r>
          </w:p>
        </w:tc>
      </w:tr>
      <w:tr w:rsidR="008722A3" w:rsidRPr="00901B11" w14:paraId="1453863B" w14:textId="6C17D023" w:rsidTr="00B97185">
        <w:tc>
          <w:tcPr>
            <w:tcW w:w="1701" w:type="dxa"/>
            <w:shd w:val="clear" w:color="auto" w:fill="D6E3BC" w:themeFill="accent3" w:themeFillTint="66"/>
          </w:tcPr>
          <w:p w14:paraId="1DA85ADE" w14:textId="3E503CDE" w:rsidR="008722A3" w:rsidRPr="00901B11" w:rsidRDefault="008722A3" w:rsidP="00AA6931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901B11">
              <w:rPr>
                <w:rFonts w:asciiTheme="minorHAnsi" w:hAnsiTheme="minorHAnsi"/>
                <w:szCs w:val="24"/>
              </w:rPr>
              <w:t>NT</w:t>
            </w:r>
          </w:p>
        </w:tc>
        <w:tc>
          <w:tcPr>
            <w:tcW w:w="3401" w:type="dxa"/>
            <w:shd w:val="clear" w:color="auto" w:fill="D6E3BC" w:themeFill="accent3" w:themeFillTint="66"/>
          </w:tcPr>
          <w:p w14:paraId="5EB2CAA4" w14:textId="41E18099" w:rsidR="008722A3" w:rsidRPr="00901B11" w:rsidRDefault="008722A3" w:rsidP="00AA6931">
            <w:pPr>
              <w:pStyle w:val="TextFieldStyle"/>
              <w:rPr>
                <w:szCs w:val="24"/>
              </w:rPr>
            </w:pPr>
            <w:r w:rsidRPr="00901B11">
              <w:rPr>
                <w:szCs w:val="24"/>
              </w:rPr>
              <w:t>Mining Claim Central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0C14E72C" w14:textId="77777777" w:rsidR="008722A3" w:rsidRPr="00901B11" w:rsidRDefault="008722A3" w:rsidP="00AA6931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D6E3BC" w:themeFill="accent3" w:themeFillTint="66"/>
          </w:tcPr>
          <w:p w14:paraId="18F5448D" w14:textId="73C27ECB" w:rsidR="008722A3" w:rsidRPr="00901B11" w:rsidRDefault="008722A3" w:rsidP="00AA6931">
            <w:pPr>
              <w:rPr>
                <w:sz w:val="24"/>
                <w:szCs w:val="24"/>
              </w:rPr>
            </w:pPr>
            <w:r w:rsidRPr="00901B11">
              <w:rPr>
                <w:sz w:val="24"/>
                <w:szCs w:val="24"/>
              </w:rPr>
              <w:t xml:space="preserve">0 years, </w:t>
            </w:r>
            <w:r w:rsidR="00E67AAB" w:rsidRPr="00901B11">
              <w:rPr>
                <w:sz w:val="24"/>
                <w:szCs w:val="24"/>
              </w:rPr>
              <w:t>every 1 year</w:t>
            </w:r>
          </w:p>
        </w:tc>
      </w:tr>
      <w:tr w:rsidR="008722A3" w:rsidRPr="00901B11" w14:paraId="0E9056CF" w14:textId="0547F39B" w:rsidTr="00B97185">
        <w:tc>
          <w:tcPr>
            <w:tcW w:w="1701" w:type="dxa"/>
            <w:shd w:val="clear" w:color="auto" w:fill="D6E3BC" w:themeFill="accent3" w:themeFillTint="66"/>
          </w:tcPr>
          <w:p w14:paraId="635130F7" w14:textId="1E53A630" w:rsidR="008722A3" w:rsidRPr="00901B11" w:rsidRDefault="008722A3" w:rsidP="00D0669F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1" w:type="dxa"/>
            <w:shd w:val="clear" w:color="auto" w:fill="D6E3BC" w:themeFill="accent3" w:themeFillTint="66"/>
          </w:tcPr>
          <w:p w14:paraId="3CD06207" w14:textId="5B747905" w:rsidR="008722A3" w:rsidRPr="00901B11" w:rsidRDefault="008722A3" w:rsidP="00D0669F">
            <w:pPr>
              <w:pStyle w:val="TextFieldStyle"/>
              <w:rPr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214D6868" w14:textId="77777777" w:rsidR="008722A3" w:rsidRPr="00901B11" w:rsidRDefault="008722A3" w:rsidP="00D0669F">
            <w:pPr>
              <w:rPr>
                <w:sz w:val="24"/>
                <w:szCs w:val="24"/>
              </w:rPr>
            </w:pPr>
          </w:p>
        </w:tc>
        <w:tc>
          <w:tcPr>
            <w:tcW w:w="4709" w:type="dxa"/>
            <w:shd w:val="clear" w:color="auto" w:fill="D6E3BC" w:themeFill="accent3" w:themeFillTint="66"/>
          </w:tcPr>
          <w:p w14:paraId="31AB2AA9" w14:textId="035127E7" w:rsidR="008722A3" w:rsidRPr="00901B11" w:rsidRDefault="008722A3" w:rsidP="00D0669F">
            <w:pPr>
              <w:rPr>
                <w:sz w:val="24"/>
                <w:szCs w:val="24"/>
              </w:rPr>
            </w:pPr>
          </w:p>
        </w:tc>
      </w:tr>
    </w:tbl>
    <w:p w14:paraId="525F0CA1" w14:textId="77777777" w:rsidR="00E91B3F" w:rsidRPr="00901B11" w:rsidRDefault="00291A38" w:rsidP="00934F3F">
      <w:pPr>
        <w:spacing w:after="240"/>
        <w:rPr>
          <w:i/>
          <w:sz w:val="18"/>
          <w:szCs w:val="18"/>
        </w:rPr>
      </w:pPr>
      <w:r w:rsidRPr="00901B11">
        <w:rPr>
          <w:i/>
          <w:sz w:val="18"/>
          <w:szCs w:val="18"/>
          <w:u w:val="single"/>
        </w:rPr>
        <w:t>Note</w:t>
      </w:r>
      <w:r w:rsidRPr="00901B11">
        <w:rPr>
          <w:i/>
          <w:sz w:val="18"/>
          <w:szCs w:val="18"/>
        </w:rPr>
        <w:t>: The Applies To list defines which specific Tenement types this action applies to, along with the specific pattern of renewals allowed.</w:t>
      </w:r>
    </w:p>
    <w:tbl>
      <w:tblPr>
        <w:tblStyle w:val="TableGrid"/>
        <w:tblW w:w="112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3215"/>
      </w:tblGrid>
      <w:tr w:rsidR="008E2879" w:rsidRPr="00901B11" w14:paraId="412C25AC" w14:textId="77777777" w:rsidTr="000E04C4">
        <w:tc>
          <w:tcPr>
            <w:tcW w:w="11296" w:type="dxa"/>
            <w:gridSpan w:val="2"/>
            <w:shd w:val="pct15" w:color="auto" w:fill="auto"/>
          </w:tcPr>
          <w:p w14:paraId="237456A1" w14:textId="77777777" w:rsidR="008E2879" w:rsidRPr="00901B11" w:rsidRDefault="007B0278" w:rsidP="00934F3F">
            <w:pPr>
              <w:jc w:val="center"/>
              <w:rPr>
                <w:b/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901B11" w14:paraId="500DF2C0" w14:textId="77777777" w:rsidTr="000E04C4">
        <w:tc>
          <w:tcPr>
            <w:tcW w:w="8081" w:type="dxa"/>
            <w:shd w:val="clear" w:color="auto" w:fill="D9D9D9" w:themeFill="background1" w:themeFillShade="D9"/>
          </w:tcPr>
          <w:p w14:paraId="55AE0063" w14:textId="77777777" w:rsidR="00441A77" w:rsidRPr="00901B11" w:rsidRDefault="00441A77" w:rsidP="00934F3F">
            <w:pPr>
              <w:rPr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0F51CC0E" w14:textId="77777777" w:rsidR="00441A77" w:rsidRPr="00901B11" w:rsidRDefault="0021180A" w:rsidP="00934F3F">
            <w:pPr>
              <w:rPr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Days Needed</w:t>
            </w:r>
            <w:r w:rsidR="0029668B" w:rsidRPr="00901B11">
              <w:rPr>
                <w:b/>
                <w:sz w:val="24"/>
                <w:szCs w:val="24"/>
              </w:rPr>
              <w:t xml:space="preserve"> Before </w:t>
            </w:r>
            <w:r w:rsidRPr="00901B11">
              <w:rPr>
                <w:b/>
                <w:sz w:val="24"/>
                <w:szCs w:val="24"/>
              </w:rPr>
              <w:t>Deadline</w:t>
            </w:r>
          </w:p>
        </w:tc>
      </w:tr>
      <w:tr w:rsidR="00E67AAB" w:rsidRPr="00901B11" w14:paraId="4D0D5C25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68C4F8E9" w14:textId="51E89E33" w:rsidR="00E67AAB" w:rsidRPr="00901B11" w:rsidRDefault="00E67AAB" w:rsidP="000E04C4">
            <w:pPr>
              <w:tabs>
                <w:tab w:val="left" w:pos="1418"/>
                <w:tab w:val="left" w:pos="4111"/>
              </w:tabs>
            </w:pPr>
            <w:r w:rsidRPr="00901B11">
              <w:t>If previous renewal has not been granted, confirm the renewal date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678DFC1A" w14:textId="2622946F" w:rsidR="00E67AAB" w:rsidRPr="00901B11" w:rsidRDefault="00E67AAB" w:rsidP="000E04C4">
            <w:pPr>
              <w:tabs>
                <w:tab w:val="left" w:pos="1418"/>
                <w:tab w:val="left" w:pos="4111"/>
              </w:tabs>
            </w:pPr>
            <w:r w:rsidRPr="00901B11">
              <w:t>60d</w:t>
            </w:r>
          </w:p>
        </w:tc>
      </w:tr>
      <w:tr w:rsidR="000E04C4" w:rsidRPr="00901B11" w14:paraId="735DE1FC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42269C65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>Notify Geologists of pending expiry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5E4AB711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>60d</w:t>
            </w:r>
          </w:p>
        </w:tc>
      </w:tr>
      <w:tr w:rsidR="000E04C4" w:rsidRPr="00901B11" w14:paraId="3FFCB343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73B38671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>Verify the tenement is to be renewed (EoT)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49398DAB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 xml:space="preserve">50d </w:t>
            </w:r>
          </w:p>
        </w:tc>
      </w:tr>
      <w:tr w:rsidR="000E04C4" w:rsidRPr="00901B11" w14:paraId="17E02B38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C75D885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>Get Summary of Exploration Activities carried out for term of Tenement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0005596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>35d</w:t>
            </w:r>
          </w:p>
        </w:tc>
      </w:tr>
      <w:tr w:rsidR="000E04C4" w:rsidRPr="00901B11" w14:paraId="2B0962E3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DE6C103" w14:textId="77777777" w:rsidR="000E04C4" w:rsidRPr="00901B11" w:rsidRDefault="000E04C4" w:rsidP="00AA436C">
            <w:pPr>
              <w:tabs>
                <w:tab w:val="left" w:pos="1418"/>
                <w:tab w:val="left" w:pos="4111"/>
              </w:tabs>
            </w:pPr>
            <w:r w:rsidRPr="00901B11">
              <w:t xml:space="preserve">Prepare a 2 year </w:t>
            </w:r>
            <w:r w:rsidR="00AA436C" w:rsidRPr="00901B11">
              <w:t>-</w:t>
            </w:r>
            <w:r w:rsidRPr="00901B11">
              <w:t xml:space="preserve"> Proposed Exploration Activities 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887565F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 xml:space="preserve">35d </w:t>
            </w:r>
          </w:p>
        </w:tc>
      </w:tr>
      <w:tr w:rsidR="000E04C4" w:rsidRPr="00901B11" w14:paraId="3544F8B2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2237948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>Prepare Form 9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5F07854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>28d</w:t>
            </w:r>
          </w:p>
        </w:tc>
      </w:tr>
      <w:tr w:rsidR="000E04C4" w:rsidRPr="00901B11" w14:paraId="44C10300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320597C3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>Lodge Renewal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1B9BD82D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>21d</w:t>
            </w:r>
          </w:p>
        </w:tc>
      </w:tr>
      <w:tr w:rsidR="000E04C4" w:rsidRPr="00901B11" w14:paraId="55B0E8DA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3B9CE9DF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>Wait for Renewal to be Granted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0DC4E5CF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>0</w:t>
            </w:r>
          </w:p>
        </w:tc>
      </w:tr>
      <w:tr w:rsidR="000E04C4" w:rsidRPr="00901B11" w14:paraId="478BC8D9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3F042E9E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>Update Tenement Commitment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1E7D49FA" w14:textId="77777777" w:rsidR="000E04C4" w:rsidRPr="00901B11" w:rsidRDefault="000E04C4" w:rsidP="000E04C4">
            <w:pPr>
              <w:tabs>
                <w:tab w:val="left" w:pos="1418"/>
                <w:tab w:val="left" w:pos="4111"/>
              </w:tabs>
            </w:pPr>
            <w:r w:rsidRPr="00901B11">
              <w:t xml:space="preserve">0 </w:t>
            </w:r>
          </w:p>
        </w:tc>
      </w:tr>
      <w:tr w:rsidR="00934F3F" w:rsidRPr="00901B11" w14:paraId="4D25DD3A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8A4FC2E" w14:textId="77777777" w:rsidR="00934F3F" w:rsidRPr="00901B11" w:rsidRDefault="00934F3F" w:rsidP="00934F3F">
            <w:pPr>
              <w:tabs>
                <w:tab w:val="left" w:pos="1418"/>
                <w:tab w:val="left" w:pos="4111"/>
              </w:tabs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C6B5843" w14:textId="77777777" w:rsidR="00934F3F" w:rsidRPr="00901B11" w:rsidRDefault="00934F3F" w:rsidP="00934F3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40A4E093" w14:textId="77777777" w:rsidR="008C000B" w:rsidRPr="00901B11" w:rsidRDefault="008C000B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01B11">
        <w:rPr>
          <w:i/>
          <w:sz w:val="18"/>
          <w:szCs w:val="18"/>
          <w:u w:val="single"/>
        </w:rPr>
        <w:t>Note</w:t>
      </w:r>
      <w:r w:rsidRPr="00901B11">
        <w:rPr>
          <w:i/>
          <w:sz w:val="18"/>
          <w:szCs w:val="18"/>
        </w:rPr>
        <w:t xml:space="preserve">: </w:t>
      </w:r>
      <w:r w:rsidR="0029668B" w:rsidRPr="00901B11">
        <w:rPr>
          <w:i/>
          <w:sz w:val="18"/>
          <w:szCs w:val="18"/>
        </w:rPr>
        <w:t>Task List</w:t>
      </w:r>
      <w:r w:rsidRPr="00901B11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29668B" w:rsidRPr="00901B11">
        <w:rPr>
          <w:i/>
          <w:sz w:val="18"/>
          <w:szCs w:val="18"/>
        </w:rPr>
        <w:t>Task List</w:t>
      </w:r>
      <w:r w:rsidRPr="00901B11">
        <w:rPr>
          <w:i/>
          <w:sz w:val="18"/>
          <w:szCs w:val="18"/>
        </w:rPr>
        <w:t xml:space="preserve"> items negate the need for separate follow up Actions.  You may add in as many </w:t>
      </w:r>
      <w:r w:rsidR="0029668B" w:rsidRPr="00901B11">
        <w:rPr>
          <w:i/>
          <w:sz w:val="18"/>
          <w:szCs w:val="18"/>
        </w:rPr>
        <w:t>Task List</w:t>
      </w:r>
      <w:r w:rsidRPr="00901B11">
        <w:rPr>
          <w:i/>
          <w:sz w:val="18"/>
          <w:szCs w:val="18"/>
        </w:rPr>
        <w:t xml:space="preserve"> items as you wish. If a </w:t>
      </w:r>
      <w:r w:rsidR="0029668B" w:rsidRPr="00901B11">
        <w:rPr>
          <w:i/>
          <w:sz w:val="18"/>
          <w:szCs w:val="18"/>
        </w:rPr>
        <w:t>Task List</w:t>
      </w:r>
      <w:r w:rsidRPr="00901B11">
        <w:rPr>
          <w:i/>
          <w:sz w:val="18"/>
          <w:szCs w:val="18"/>
        </w:rPr>
        <w:t xml:space="preserve"> item has no Days Needed Before Deadline entered then it will default to the previous </w:t>
      </w:r>
      <w:r w:rsidR="0029668B" w:rsidRPr="00901B11">
        <w:rPr>
          <w:i/>
          <w:sz w:val="18"/>
          <w:szCs w:val="18"/>
        </w:rPr>
        <w:t>Task List</w:t>
      </w:r>
      <w:r w:rsidRPr="00901B11">
        <w:rPr>
          <w:i/>
          <w:sz w:val="18"/>
          <w:szCs w:val="18"/>
        </w:rPr>
        <w:t xml:space="preserve"> item Days Needed Before Deadline.</w:t>
      </w:r>
    </w:p>
    <w:p w14:paraId="44DBF60A" w14:textId="77777777" w:rsidR="0093041B" w:rsidRPr="00901B11" w:rsidRDefault="0093041B" w:rsidP="002B602D">
      <w:pPr>
        <w:spacing w:after="0" w:line="240" w:lineRule="auto"/>
        <w:ind w:left="-142"/>
        <w:rPr>
          <w:b/>
          <w:szCs w:val="24"/>
        </w:rPr>
      </w:pPr>
      <w:r w:rsidRPr="00901B11">
        <w:rPr>
          <w:b/>
          <w:szCs w:val="24"/>
        </w:rPr>
        <w:t>How to Lodge:</w:t>
      </w:r>
    </w:p>
    <w:p w14:paraId="457AA6D6" w14:textId="77777777" w:rsidR="00E41751" w:rsidRPr="00901B11" w:rsidRDefault="00E41751" w:rsidP="00E41751">
      <w:pPr>
        <w:spacing w:after="0" w:line="240" w:lineRule="auto"/>
        <w:ind w:left="-142"/>
        <w:rPr>
          <w:szCs w:val="24"/>
        </w:rPr>
      </w:pPr>
      <w:r w:rsidRPr="00901B11">
        <w:rPr>
          <w:szCs w:val="24"/>
        </w:rPr>
        <w:t xml:space="preserve">You can renew all mineral titles, other than an extractive mineral exploration licence, more than once. </w:t>
      </w:r>
    </w:p>
    <w:p w14:paraId="0D5F4B58" w14:textId="77777777" w:rsidR="00E41751" w:rsidRPr="00901B11" w:rsidRDefault="00E41751" w:rsidP="00E41751">
      <w:pPr>
        <w:spacing w:after="0" w:line="240" w:lineRule="auto"/>
        <w:ind w:left="-142"/>
        <w:rPr>
          <w:szCs w:val="24"/>
        </w:rPr>
      </w:pPr>
      <w:r w:rsidRPr="00901B11">
        <w:rPr>
          <w:szCs w:val="24"/>
        </w:rPr>
        <w:t xml:space="preserve">You must apply for a renewal before the current term expires. This includes paying rent and administration fees for the first year of the renewal and providing the required supporting information. </w:t>
      </w:r>
    </w:p>
    <w:p w14:paraId="1BDA1C27" w14:textId="77777777" w:rsidR="00E41751" w:rsidRPr="00901B11" w:rsidRDefault="00E41751" w:rsidP="00E41751">
      <w:pPr>
        <w:spacing w:after="0" w:line="240" w:lineRule="auto"/>
        <w:ind w:left="-142"/>
        <w:rPr>
          <w:szCs w:val="24"/>
        </w:rPr>
      </w:pPr>
      <w:r w:rsidRPr="00901B11">
        <w:rPr>
          <w:szCs w:val="24"/>
        </w:rPr>
        <w:lastRenderedPageBreak/>
        <w:t xml:space="preserve">The title will lapse if you don't submit a renewal application before the end of its term. </w:t>
      </w:r>
    </w:p>
    <w:p w14:paraId="1976CBF4" w14:textId="77777777" w:rsidR="004512C5" w:rsidRPr="00901B11" w:rsidRDefault="00E41751" w:rsidP="00E41751">
      <w:pPr>
        <w:spacing w:after="0" w:line="240" w:lineRule="auto"/>
        <w:ind w:left="-142"/>
        <w:rPr>
          <w:szCs w:val="24"/>
        </w:rPr>
      </w:pPr>
      <w:r w:rsidRPr="00901B11">
        <w:rPr>
          <w:szCs w:val="24"/>
        </w:rPr>
        <w:t>Each type of title can be renewed for a different length of time.</w:t>
      </w:r>
    </w:p>
    <w:p w14:paraId="7D7B0390" w14:textId="77777777" w:rsidR="00E41751" w:rsidRPr="00901B11" w:rsidRDefault="00E41751" w:rsidP="00E41751">
      <w:pPr>
        <w:rPr>
          <w:b/>
        </w:rPr>
      </w:pPr>
      <w:r w:rsidRPr="00901B11">
        <w:rPr>
          <w:b/>
        </w:rPr>
        <w:t>Important Notes to Consider</w:t>
      </w:r>
    </w:p>
    <w:p w14:paraId="7344A6CB" w14:textId="77777777" w:rsidR="00E41751" w:rsidRPr="00901B11" w:rsidRDefault="00E41751" w:rsidP="00E41751">
      <w:pPr>
        <w:numPr>
          <w:ilvl w:val="0"/>
          <w:numId w:val="3"/>
        </w:numPr>
        <w:tabs>
          <w:tab w:val="clear" w:pos="2575"/>
          <w:tab w:val="num" w:pos="993"/>
          <w:tab w:val="num" w:pos="1560"/>
        </w:tabs>
        <w:ind w:left="993" w:hanging="567"/>
      </w:pPr>
      <w:r w:rsidRPr="00901B11">
        <w:t xml:space="preserve">Mineral title applications for renewal </w:t>
      </w:r>
      <w:r w:rsidRPr="00901B11">
        <w:rPr>
          <w:b/>
          <w:u w:val="single"/>
        </w:rPr>
        <w:t>must</w:t>
      </w:r>
      <w:r w:rsidRPr="00901B11">
        <w:t xml:space="preserve"> be lodged before the end of the term of the title otherwise the mineral title will lapse.</w:t>
      </w:r>
    </w:p>
    <w:p w14:paraId="2BBFA0C6" w14:textId="77777777" w:rsidR="00E41751" w:rsidRPr="00901B11" w:rsidRDefault="00E41751" w:rsidP="00E41751">
      <w:pPr>
        <w:numPr>
          <w:ilvl w:val="0"/>
          <w:numId w:val="3"/>
        </w:numPr>
        <w:tabs>
          <w:tab w:val="clear" w:pos="2575"/>
          <w:tab w:val="num" w:pos="993"/>
          <w:tab w:val="num" w:pos="1560"/>
        </w:tabs>
        <w:ind w:left="993" w:hanging="567"/>
      </w:pPr>
      <w:r w:rsidRPr="00901B11">
        <w:t>An application for the renewal of a mineral title must be accompanied by the prescribed rent and administration fee for the first operational year after renewal.</w:t>
      </w:r>
    </w:p>
    <w:p w14:paraId="71879C7A" w14:textId="77777777" w:rsidR="00E41751" w:rsidRPr="00901B11" w:rsidRDefault="00E41751" w:rsidP="00E41751">
      <w:pPr>
        <w:numPr>
          <w:ilvl w:val="0"/>
          <w:numId w:val="3"/>
        </w:numPr>
        <w:tabs>
          <w:tab w:val="clear" w:pos="2575"/>
          <w:tab w:val="num" w:pos="993"/>
          <w:tab w:val="num" w:pos="1560"/>
        </w:tabs>
        <w:spacing w:after="0" w:line="240" w:lineRule="auto"/>
        <w:ind w:left="992" w:hanging="567"/>
      </w:pPr>
      <w:r w:rsidRPr="00901B11">
        <w:t xml:space="preserve">Requirements under section 58 of the </w:t>
      </w:r>
      <w:r w:rsidRPr="00901B11">
        <w:rPr>
          <w:i/>
        </w:rPr>
        <w:t xml:space="preserve">Act </w:t>
      </w:r>
      <w:r w:rsidRPr="00901B11">
        <w:t>and regulation 44 ‘Necessary criteria for mineral title application’ will be taken into account by the Minister when considering an application for the renewal of a mineral title.</w:t>
      </w:r>
    </w:p>
    <w:p w14:paraId="7A8AD845" w14:textId="77777777" w:rsidR="0061598A" w:rsidRPr="00901B11" w:rsidRDefault="0061598A" w:rsidP="0061598A">
      <w:pPr>
        <w:tabs>
          <w:tab w:val="num" w:pos="993"/>
          <w:tab w:val="num" w:pos="1560"/>
        </w:tabs>
        <w:spacing w:after="0" w:line="240" w:lineRule="auto"/>
      </w:pPr>
    </w:p>
    <w:p w14:paraId="3B97DB42" w14:textId="77777777" w:rsidR="001A56CA" w:rsidRPr="00901B11" w:rsidRDefault="00B5679D" w:rsidP="0061598A">
      <w:pPr>
        <w:tabs>
          <w:tab w:val="num" w:pos="993"/>
          <w:tab w:val="num" w:pos="1560"/>
        </w:tabs>
        <w:spacing w:after="0" w:line="240" w:lineRule="auto"/>
      </w:pPr>
      <w:r w:rsidRPr="00901B11">
        <w:t>Below is a</w:t>
      </w:r>
      <w:r w:rsidR="001A56CA" w:rsidRPr="00901B11">
        <w:t xml:space="preserve"> useful DPIR link providing guidelines for submitting a renewal application:</w:t>
      </w:r>
    </w:p>
    <w:p w14:paraId="4BC3471F" w14:textId="77777777" w:rsidR="00896A46" w:rsidRPr="00901B11" w:rsidRDefault="00896A46" w:rsidP="0061598A">
      <w:pPr>
        <w:tabs>
          <w:tab w:val="num" w:pos="993"/>
          <w:tab w:val="num" w:pos="1560"/>
        </w:tabs>
        <w:spacing w:after="0" w:line="240" w:lineRule="auto"/>
        <w:rPr>
          <w:sz w:val="20"/>
        </w:rPr>
      </w:pPr>
      <w:hyperlink r:id="rId11" w:history="1">
        <w:r w:rsidRPr="00901B11">
          <w:rPr>
            <w:rStyle w:val="Hyperlink"/>
          </w:rPr>
          <w:t>https://nt.gov.au/industry/mining-and-petroleum/mineral-titles/mineral-titles-forms-and-guidelines/renewal-application-forms-and-guidelines</w:t>
        </w:r>
      </w:hyperlink>
      <w:r w:rsidRPr="00901B11">
        <w:t xml:space="preserve"> </w:t>
      </w:r>
      <w:r w:rsidR="001A56CA" w:rsidRPr="00901B11">
        <w:rPr>
          <w:szCs w:val="24"/>
        </w:rPr>
        <w:t xml:space="preserve">This link will </w:t>
      </w:r>
      <w:r w:rsidR="00C94BE5" w:rsidRPr="00901B11">
        <w:rPr>
          <w:szCs w:val="24"/>
        </w:rPr>
        <w:t xml:space="preserve">also </w:t>
      </w:r>
      <w:r w:rsidR="001A56CA" w:rsidRPr="00901B11">
        <w:rPr>
          <w:szCs w:val="24"/>
        </w:rPr>
        <w:t>take you to “</w:t>
      </w:r>
      <w:r w:rsidR="00B5679D" w:rsidRPr="00901B11">
        <w:rPr>
          <w:szCs w:val="24"/>
        </w:rPr>
        <w:t>Renewal application</w:t>
      </w:r>
      <w:r w:rsidR="001A56CA" w:rsidRPr="00901B11">
        <w:rPr>
          <w:szCs w:val="24"/>
        </w:rPr>
        <w:t xml:space="preserve"> forms and guidelines” which will provide links to:</w:t>
      </w:r>
    </w:p>
    <w:p w14:paraId="1D8C496E" w14:textId="77777777" w:rsidR="00452C38" w:rsidRPr="00901B11" w:rsidRDefault="00452C38" w:rsidP="00452C38">
      <w:pPr>
        <w:pStyle w:val="BodyText"/>
        <w:spacing w:before="60" w:after="0"/>
        <w:rPr>
          <w:rFonts w:cs="Arial"/>
          <w:i/>
          <w:sz w:val="20"/>
          <w:szCs w:val="20"/>
        </w:rPr>
      </w:pPr>
      <w:r w:rsidRPr="00901B11">
        <w:rPr>
          <w:rFonts w:asciiTheme="minorHAnsi" w:eastAsiaTheme="minorHAnsi" w:hAnsiTheme="minorHAnsi" w:cstheme="minorBidi"/>
          <w:b/>
          <w:sz w:val="20"/>
          <w:szCs w:val="20"/>
        </w:rPr>
        <w:t>Form 7: Renewal Application for Mineral Exploration Licence or Mineral Authority for Exploration</w:t>
      </w:r>
    </w:p>
    <w:p w14:paraId="29E9BA48" w14:textId="77777777" w:rsidR="00452C38" w:rsidRPr="00901B11" w:rsidRDefault="00452C38" w:rsidP="00452C38">
      <w:pPr>
        <w:pStyle w:val="BodyText"/>
        <w:spacing w:before="60" w:after="0"/>
        <w:rPr>
          <w:rFonts w:asciiTheme="minorHAnsi" w:hAnsiTheme="minorHAnsi" w:cstheme="minorHAnsi"/>
          <w:i/>
          <w:sz w:val="20"/>
          <w:szCs w:val="20"/>
        </w:rPr>
      </w:pPr>
      <w:r w:rsidRPr="00901B11">
        <w:rPr>
          <w:rFonts w:asciiTheme="minorHAnsi" w:hAnsiTheme="minorHAnsi" w:cstheme="minorHAnsi"/>
          <w:i/>
          <w:sz w:val="20"/>
          <w:szCs w:val="20"/>
        </w:rPr>
        <w:t>Mineral Titles Act</w:t>
      </w:r>
      <w:r w:rsidRPr="00901B11">
        <w:rPr>
          <w:rFonts w:asciiTheme="minorHAnsi" w:hAnsiTheme="minorHAnsi" w:cstheme="minorHAnsi"/>
          <w:sz w:val="20"/>
          <w:szCs w:val="20"/>
        </w:rPr>
        <w:t xml:space="preserve"> - Section 30 &amp; 118 – Approved Form 7</w:t>
      </w:r>
    </w:p>
    <w:p w14:paraId="069C3447" w14:textId="77777777" w:rsidR="00452C38" w:rsidRPr="00901B11" w:rsidRDefault="00452C38" w:rsidP="00452C38">
      <w:pPr>
        <w:pStyle w:val="Title"/>
        <w:ind w:left="-567" w:right="-568" w:firstLine="567"/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</w:pPr>
      <w:r w:rsidRPr="00901B11">
        <w:rPr>
          <w:rFonts w:asciiTheme="minorHAnsi" w:eastAsiaTheme="minorHAnsi" w:hAnsiTheme="minorHAnsi" w:cstheme="minorBidi"/>
          <w:color w:val="auto"/>
          <w:sz w:val="20"/>
          <w:szCs w:val="20"/>
          <w:lang w:eastAsia="en-US"/>
        </w:rPr>
        <w:t>Form 8: Renewal Application for Exploration Licence in Retention or Mineral Authority for Exploration in Retention</w:t>
      </w:r>
    </w:p>
    <w:p w14:paraId="318E2C49" w14:textId="77777777" w:rsidR="00452C38" w:rsidRPr="00901B11" w:rsidRDefault="00452C38" w:rsidP="00452C38">
      <w:pPr>
        <w:pStyle w:val="BodyText"/>
        <w:spacing w:before="60" w:after="0"/>
        <w:rPr>
          <w:rFonts w:asciiTheme="minorHAnsi" w:hAnsiTheme="minorHAnsi" w:cstheme="minorHAnsi"/>
          <w:i/>
          <w:sz w:val="20"/>
          <w:szCs w:val="20"/>
        </w:rPr>
      </w:pPr>
      <w:r w:rsidRPr="00901B11">
        <w:rPr>
          <w:rFonts w:asciiTheme="minorHAnsi" w:hAnsiTheme="minorHAnsi" w:cstheme="minorHAnsi"/>
          <w:i/>
          <w:sz w:val="20"/>
          <w:szCs w:val="20"/>
        </w:rPr>
        <w:t>Mineral Titles Act</w:t>
      </w:r>
      <w:r w:rsidRPr="00901B11">
        <w:rPr>
          <w:rFonts w:asciiTheme="minorHAnsi" w:hAnsiTheme="minorHAnsi" w:cstheme="minorHAnsi"/>
          <w:sz w:val="20"/>
          <w:szCs w:val="20"/>
        </w:rPr>
        <w:t xml:space="preserve"> - Section 36 &amp; 118 – Approved Form 8</w:t>
      </w:r>
    </w:p>
    <w:p w14:paraId="3645B19B" w14:textId="77777777" w:rsidR="00452C38" w:rsidRPr="00901B11" w:rsidRDefault="00452C38" w:rsidP="00452C38">
      <w:pPr>
        <w:pStyle w:val="BodyText"/>
        <w:spacing w:before="60" w:after="0"/>
        <w:rPr>
          <w:rFonts w:asciiTheme="minorHAnsi" w:eastAsiaTheme="minorHAnsi" w:hAnsiTheme="minorHAnsi" w:cstheme="minorBidi"/>
          <w:b/>
          <w:sz w:val="20"/>
          <w:szCs w:val="20"/>
        </w:rPr>
      </w:pPr>
      <w:r w:rsidRPr="00901B11">
        <w:rPr>
          <w:rFonts w:asciiTheme="minorHAnsi" w:eastAsiaTheme="minorHAnsi" w:hAnsiTheme="minorHAnsi" w:cstheme="minorBidi"/>
          <w:b/>
          <w:sz w:val="20"/>
          <w:szCs w:val="20"/>
        </w:rPr>
        <w:t>Form 9: Renewal Application for Mineral Lease; Extractive Mineral Permit; Extractive Mineral Lease or Mineral Authority</w:t>
      </w:r>
    </w:p>
    <w:p w14:paraId="2ABB4CEB" w14:textId="77777777" w:rsidR="00452C38" w:rsidRPr="00901B11" w:rsidRDefault="00452C38" w:rsidP="00452C38">
      <w:pPr>
        <w:pStyle w:val="BodyText"/>
        <w:spacing w:before="60" w:after="0"/>
        <w:rPr>
          <w:rFonts w:asciiTheme="minorHAnsi" w:hAnsiTheme="minorHAnsi" w:cstheme="minorHAnsi"/>
          <w:i/>
          <w:sz w:val="20"/>
          <w:szCs w:val="20"/>
        </w:rPr>
      </w:pPr>
      <w:r w:rsidRPr="00901B11">
        <w:rPr>
          <w:rFonts w:asciiTheme="minorHAnsi" w:hAnsiTheme="minorHAnsi" w:cstheme="minorHAnsi"/>
          <w:i/>
          <w:sz w:val="20"/>
          <w:szCs w:val="20"/>
        </w:rPr>
        <w:t>Mineral Titles Act</w:t>
      </w:r>
      <w:r w:rsidRPr="00901B11">
        <w:rPr>
          <w:rFonts w:asciiTheme="minorHAnsi" w:hAnsiTheme="minorHAnsi" w:cstheme="minorHAnsi"/>
          <w:sz w:val="20"/>
          <w:szCs w:val="20"/>
        </w:rPr>
        <w:t xml:space="preserve"> - Section 43, 52, 56 &amp; 118 – Approved Form 9</w:t>
      </w:r>
    </w:p>
    <w:p w14:paraId="6E82A364" w14:textId="77777777" w:rsidR="00452C38" w:rsidRPr="00901B11" w:rsidRDefault="00452C38" w:rsidP="00452C38">
      <w:pPr>
        <w:pStyle w:val="BodyText"/>
        <w:spacing w:before="60" w:after="0"/>
        <w:rPr>
          <w:rFonts w:asciiTheme="minorHAnsi" w:eastAsiaTheme="minorHAnsi" w:hAnsiTheme="minorHAnsi" w:cstheme="minorBidi"/>
          <w:b/>
          <w:sz w:val="20"/>
          <w:szCs w:val="20"/>
        </w:rPr>
      </w:pPr>
      <w:r w:rsidRPr="00901B11">
        <w:rPr>
          <w:rFonts w:asciiTheme="minorHAnsi" w:eastAsiaTheme="minorHAnsi" w:hAnsiTheme="minorHAnsi" w:cstheme="minorBidi"/>
          <w:b/>
          <w:sz w:val="20"/>
          <w:szCs w:val="20"/>
        </w:rPr>
        <w:t>Form to: Renewal Application for Mineral Claim</w:t>
      </w:r>
    </w:p>
    <w:p w14:paraId="24C3333C" w14:textId="77777777" w:rsidR="00452C38" w:rsidRPr="00901B11" w:rsidRDefault="00452C38" w:rsidP="00B5679D">
      <w:pPr>
        <w:ind w:left="-567" w:firstLine="567"/>
        <w:rPr>
          <w:sz w:val="20"/>
          <w:szCs w:val="20"/>
        </w:rPr>
      </w:pPr>
      <w:r w:rsidRPr="00901B11">
        <w:rPr>
          <w:i/>
          <w:sz w:val="20"/>
          <w:szCs w:val="20"/>
        </w:rPr>
        <w:t>Mineral Titles Act</w:t>
      </w:r>
      <w:r w:rsidRPr="00901B11">
        <w:rPr>
          <w:sz w:val="20"/>
          <w:szCs w:val="20"/>
        </w:rPr>
        <w:t xml:space="preserve"> - Section 204 and Regulation 140</w:t>
      </w:r>
    </w:p>
    <w:p w14:paraId="599C9C8F" w14:textId="77777777" w:rsidR="00B24A05" w:rsidRPr="00901B11" w:rsidRDefault="00B24A05" w:rsidP="00B24A05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24A05" w:rsidRPr="00901B11" w14:paraId="6F19FDB8" w14:textId="77777777" w:rsidTr="004D423A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82F0685" w14:textId="77777777" w:rsidR="00B24A05" w:rsidRPr="00901B11" w:rsidRDefault="00B24A05" w:rsidP="004D423A">
            <w:pPr>
              <w:jc w:val="center"/>
              <w:rPr>
                <w:b/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Change History</w:t>
            </w:r>
          </w:p>
        </w:tc>
      </w:tr>
      <w:tr w:rsidR="00B24A05" w:rsidRPr="00901B11" w14:paraId="6B4BBF83" w14:textId="77777777" w:rsidTr="004D423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278124" w14:textId="77777777" w:rsidR="00B24A05" w:rsidRPr="00901B11" w:rsidRDefault="00B24A05" w:rsidP="004D423A">
            <w:pPr>
              <w:rPr>
                <w:b/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922150" w14:textId="77777777" w:rsidR="00B24A05" w:rsidRPr="00901B11" w:rsidRDefault="00B24A05" w:rsidP="004D423A">
            <w:pPr>
              <w:rPr>
                <w:b/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4CEBB" w14:textId="77777777" w:rsidR="00B24A05" w:rsidRPr="00901B11" w:rsidRDefault="00B24A05" w:rsidP="004D423A">
            <w:pPr>
              <w:rPr>
                <w:b/>
                <w:sz w:val="24"/>
                <w:szCs w:val="24"/>
              </w:rPr>
            </w:pPr>
            <w:r w:rsidRPr="00901B11">
              <w:rPr>
                <w:b/>
                <w:sz w:val="24"/>
                <w:szCs w:val="24"/>
              </w:rPr>
              <w:t>Changes</w:t>
            </w:r>
          </w:p>
        </w:tc>
      </w:tr>
      <w:tr w:rsidR="00540081" w:rsidRPr="00901B11" w14:paraId="563B4840" w14:textId="77777777" w:rsidTr="001E4022">
        <w:trPr>
          <w:trHeight w:val="279"/>
        </w:trPr>
        <w:tc>
          <w:tcPr>
            <w:tcW w:w="1409" w:type="dxa"/>
          </w:tcPr>
          <w:p w14:paraId="14164198" w14:textId="2FF3DDE5" w:rsidR="00540081" w:rsidRDefault="0072257E" w:rsidP="00B634EC">
            <w:pPr>
              <w:tabs>
                <w:tab w:val="left" w:pos="1418"/>
                <w:tab w:val="left" w:pos="4111"/>
              </w:tabs>
              <w:ind w:left="34"/>
              <w:jc w:val="both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10/10/2024</w:t>
            </w:r>
          </w:p>
        </w:tc>
        <w:tc>
          <w:tcPr>
            <w:tcW w:w="1129" w:type="dxa"/>
          </w:tcPr>
          <w:p w14:paraId="34DF2D33" w14:textId="0B622055" w:rsidR="00540081" w:rsidRPr="0072257E" w:rsidRDefault="0072257E" w:rsidP="00B634EC">
            <w:pPr>
              <w:tabs>
                <w:tab w:val="left" w:pos="1418"/>
                <w:tab w:val="left" w:pos="4111"/>
              </w:tabs>
              <w:rPr>
                <w:rFonts w:cs="Calibri"/>
                <w:color w:val="000000"/>
                <w:sz w:val="24"/>
                <w:szCs w:val="24"/>
              </w:rPr>
            </w:pPr>
            <w:r w:rsidRPr="0072257E">
              <w:rPr>
                <w:rFonts w:cs="Calibri"/>
                <w:color w:val="000000"/>
                <w:sz w:val="24"/>
                <w:szCs w:val="24"/>
              </w:rPr>
              <w:t>1.4.0</w:t>
            </w:r>
          </w:p>
        </w:tc>
        <w:tc>
          <w:tcPr>
            <w:tcW w:w="8661" w:type="dxa"/>
          </w:tcPr>
          <w:p w14:paraId="70D5D437" w14:textId="14337B36" w:rsidR="00540081" w:rsidRPr="0072257E" w:rsidRDefault="0072257E" w:rsidP="00B634EC">
            <w:pPr>
              <w:tabs>
                <w:tab w:val="left" w:pos="1418"/>
                <w:tab w:val="left" w:pos="4111"/>
              </w:tabs>
              <w:rPr>
                <w:rFonts w:cs="Calibri"/>
                <w:color w:val="000000"/>
                <w:sz w:val="24"/>
                <w:szCs w:val="24"/>
              </w:rPr>
            </w:pPr>
            <w:r w:rsidRPr="0072257E">
              <w:rPr>
                <w:rFonts w:cs="Calibri"/>
                <w:color w:val="000000"/>
                <w:sz w:val="24"/>
                <w:szCs w:val="24"/>
              </w:rPr>
              <w:t xml:space="preserve">Removed 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text examples, wiki </w:t>
            </w:r>
            <w:r w:rsidR="009267D9">
              <w:rPr>
                <w:rFonts w:cs="Calibri"/>
                <w:color w:val="000000"/>
                <w:sz w:val="24"/>
                <w:szCs w:val="24"/>
              </w:rPr>
              <w:t>links and custom fields.</w:t>
            </w:r>
          </w:p>
        </w:tc>
      </w:tr>
      <w:tr w:rsidR="00B634EC" w:rsidRPr="00901B11" w14:paraId="4D2424A8" w14:textId="77777777" w:rsidTr="001E4022">
        <w:trPr>
          <w:trHeight w:val="279"/>
        </w:trPr>
        <w:tc>
          <w:tcPr>
            <w:tcW w:w="1409" w:type="dxa"/>
          </w:tcPr>
          <w:p w14:paraId="2D308A22" w14:textId="11DCCCC4" w:rsidR="00B634EC" w:rsidRDefault="00B634EC" w:rsidP="00B634EC">
            <w:pPr>
              <w:tabs>
                <w:tab w:val="left" w:pos="1418"/>
                <w:tab w:val="left" w:pos="4111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19/02/2020</w:t>
            </w:r>
          </w:p>
        </w:tc>
        <w:tc>
          <w:tcPr>
            <w:tcW w:w="1129" w:type="dxa"/>
          </w:tcPr>
          <w:p w14:paraId="3A300E7F" w14:textId="621D575A" w:rsidR="00B634EC" w:rsidRPr="0072257E" w:rsidRDefault="00B634EC" w:rsidP="00B634E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72257E">
              <w:rPr>
                <w:rFonts w:cs="Calibri"/>
                <w:color w:val="000000"/>
                <w:sz w:val="24"/>
                <w:szCs w:val="24"/>
              </w:rPr>
              <w:t>1.3.0</w:t>
            </w:r>
          </w:p>
        </w:tc>
        <w:tc>
          <w:tcPr>
            <w:tcW w:w="8661" w:type="dxa"/>
          </w:tcPr>
          <w:p w14:paraId="60A8F74D" w14:textId="7883334E" w:rsidR="00B634EC" w:rsidRPr="0072257E" w:rsidRDefault="00B634EC" w:rsidP="00B634E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72257E">
              <w:rPr>
                <w:rFonts w:cs="Calibri"/>
                <w:color w:val="000000"/>
                <w:sz w:val="24"/>
                <w:szCs w:val="24"/>
              </w:rPr>
              <w:t>Added a missing comma for Mineral Release Northern</w:t>
            </w:r>
          </w:p>
        </w:tc>
      </w:tr>
      <w:tr w:rsidR="00B634EC" w:rsidRPr="00901B11" w14:paraId="0DBA3776" w14:textId="77777777" w:rsidTr="00532A1F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39D" w14:textId="2392B1C2" w:rsidR="00B634EC" w:rsidRPr="00901B11" w:rsidRDefault="00B634EC" w:rsidP="00B634EC">
            <w:pPr>
              <w:tabs>
                <w:tab w:val="left" w:pos="1418"/>
                <w:tab w:val="left" w:pos="4111"/>
              </w:tabs>
              <w:ind w:left="34"/>
              <w:jc w:val="both"/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8224" w14:textId="4DBBF9B4" w:rsidR="00B634EC" w:rsidRPr="00901B11" w:rsidRDefault="00B634EC" w:rsidP="00B634EC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A38D" w14:textId="79F6C3F6" w:rsidR="00B634EC" w:rsidRPr="00901B11" w:rsidRDefault="00B634EC" w:rsidP="00B634EC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B634EC" w:rsidRPr="00901B11" w14:paraId="38B3BD77" w14:textId="77777777" w:rsidTr="008B68F6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EEDCA" w14:textId="6CA09287" w:rsidR="00B634EC" w:rsidRPr="00901B11" w:rsidRDefault="00B634EC" w:rsidP="00B634EC">
            <w:pPr>
              <w:tabs>
                <w:tab w:val="left" w:pos="1418"/>
                <w:tab w:val="left" w:pos="4111"/>
              </w:tabs>
              <w:ind w:left="34"/>
              <w:jc w:val="both"/>
              <w:rPr>
                <w:sz w:val="24"/>
                <w:szCs w:val="24"/>
              </w:rPr>
            </w:pPr>
            <w:r w:rsidRPr="00901B11">
              <w:rPr>
                <w:rFonts w:ascii="Corbel" w:hAnsi="Corbel" w:cs="Calibri"/>
                <w:color w:val="000000"/>
              </w:rPr>
              <w:t>24/05/2018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5391E" w14:textId="67222938" w:rsidR="00B634EC" w:rsidRPr="00901B11" w:rsidRDefault="00B634EC" w:rsidP="00B634E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901B11">
              <w:rPr>
                <w:rFonts w:ascii="Corbel" w:hAnsi="Corbel" w:cs="Calibri"/>
                <w:color w:val="000000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D32D3" w14:textId="407145ED" w:rsidR="00B634EC" w:rsidRPr="00901B11" w:rsidRDefault="00B634EC" w:rsidP="00B634E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901B11">
              <w:rPr>
                <w:rFonts w:ascii="Corbel" w:hAnsi="Corbel" w:cs="Calibri"/>
                <w:color w:val="000000"/>
              </w:rPr>
              <w:t>Added ‘Unique Name Format’ row, which will cause each instance of the renewal to have a unique name and allow future instances to be created. Replaced the terms “Term”, ”Due After” and “Due On” with “Interval” to remove confusion - all terms serve the same function.</w:t>
            </w:r>
          </w:p>
        </w:tc>
      </w:tr>
      <w:tr w:rsidR="00B634EC" w14:paraId="624B8667" w14:textId="77777777" w:rsidTr="004D423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EE3" w14:textId="1A1055AE" w:rsidR="00B634EC" w:rsidRPr="00901B11" w:rsidRDefault="00B634EC" w:rsidP="00B634EC">
            <w:pPr>
              <w:tabs>
                <w:tab w:val="left" w:pos="1418"/>
                <w:tab w:val="left" w:pos="4111"/>
              </w:tabs>
              <w:ind w:left="34"/>
              <w:jc w:val="both"/>
              <w:rPr>
                <w:rFonts w:ascii="Corbel" w:hAnsi="Corbel" w:cs="Calibri"/>
                <w:color w:val="000000"/>
              </w:rPr>
            </w:pPr>
            <w:r w:rsidRPr="00901B11">
              <w:rPr>
                <w:rFonts w:ascii="Corbel" w:hAnsi="Corbel" w:cs="Calibri"/>
                <w:color w:val="000000"/>
              </w:rPr>
              <w:t>09/12/2016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1071" w14:textId="7FB3C26F" w:rsidR="00B634EC" w:rsidRPr="00901B11" w:rsidRDefault="00B634EC" w:rsidP="00B634EC">
            <w:pPr>
              <w:tabs>
                <w:tab w:val="left" w:pos="1418"/>
                <w:tab w:val="left" w:pos="4111"/>
              </w:tabs>
              <w:jc w:val="both"/>
              <w:rPr>
                <w:rFonts w:ascii="Corbel" w:hAnsi="Corbel" w:cs="Calibri"/>
                <w:color w:val="000000"/>
              </w:rPr>
            </w:pPr>
            <w:r w:rsidRPr="00901B11">
              <w:rPr>
                <w:rFonts w:ascii="Corbel" w:hAnsi="Corbel" w:cs="Calibri"/>
                <w:color w:val="000000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A10F" w14:textId="2E370E71" w:rsidR="00B634EC" w:rsidRPr="008000DD" w:rsidRDefault="00B634EC" w:rsidP="00B634EC">
            <w:pPr>
              <w:tabs>
                <w:tab w:val="left" w:pos="1418"/>
                <w:tab w:val="left" w:pos="4111"/>
              </w:tabs>
              <w:jc w:val="both"/>
              <w:rPr>
                <w:rFonts w:ascii="Corbel" w:hAnsi="Corbel" w:cs="Calibri"/>
                <w:color w:val="000000"/>
              </w:rPr>
            </w:pPr>
            <w:r w:rsidRPr="00901B11">
              <w:rPr>
                <w:rFonts w:ascii="Corbel" w:hAnsi="Corbel" w:cs="Calibri"/>
                <w:color w:val="000000"/>
              </w:rPr>
              <w:t>New template</w:t>
            </w:r>
          </w:p>
        </w:tc>
      </w:tr>
      <w:tr w:rsidR="00B634EC" w14:paraId="2A8F6CE3" w14:textId="77777777" w:rsidTr="004D423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01FA" w14:textId="77777777" w:rsidR="00B634EC" w:rsidRPr="008000DD" w:rsidRDefault="00B634EC" w:rsidP="00B634EC">
            <w:pPr>
              <w:tabs>
                <w:tab w:val="left" w:pos="1418"/>
                <w:tab w:val="left" w:pos="4111"/>
              </w:tabs>
              <w:ind w:left="34"/>
              <w:jc w:val="both"/>
              <w:rPr>
                <w:rFonts w:ascii="Corbel" w:hAnsi="Corbel" w:cs="Calibri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7E28" w14:textId="77777777" w:rsidR="00B634EC" w:rsidRPr="008000DD" w:rsidRDefault="00B634EC" w:rsidP="00B634EC">
            <w:pPr>
              <w:tabs>
                <w:tab w:val="left" w:pos="1418"/>
                <w:tab w:val="left" w:pos="4111"/>
              </w:tabs>
              <w:jc w:val="both"/>
              <w:rPr>
                <w:rFonts w:ascii="Corbel" w:hAnsi="Corbel" w:cs="Calibri"/>
                <w:color w:val="000000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00F" w14:textId="77777777" w:rsidR="00B634EC" w:rsidRPr="008000DD" w:rsidRDefault="00B634EC" w:rsidP="00B634EC">
            <w:pPr>
              <w:tabs>
                <w:tab w:val="left" w:pos="1418"/>
                <w:tab w:val="left" w:pos="4111"/>
              </w:tabs>
              <w:jc w:val="both"/>
              <w:rPr>
                <w:rFonts w:ascii="Corbel" w:hAnsi="Corbel" w:cs="Calibri"/>
                <w:color w:val="000000"/>
              </w:rPr>
            </w:pPr>
          </w:p>
        </w:tc>
      </w:tr>
      <w:tr w:rsidR="00B634EC" w14:paraId="127ABC08" w14:textId="77777777" w:rsidTr="004D423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076C" w14:textId="77777777" w:rsidR="00B634EC" w:rsidRPr="008000DD" w:rsidRDefault="00B634EC" w:rsidP="00B634EC">
            <w:pPr>
              <w:tabs>
                <w:tab w:val="left" w:pos="1418"/>
                <w:tab w:val="left" w:pos="4111"/>
              </w:tabs>
              <w:ind w:left="34"/>
              <w:jc w:val="both"/>
              <w:rPr>
                <w:rFonts w:ascii="Corbel" w:hAnsi="Corbel" w:cs="Calibri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9499" w14:textId="77777777" w:rsidR="00B634EC" w:rsidRPr="008000DD" w:rsidRDefault="00B634EC" w:rsidP="00B634EC">
            <w:pPr>
              <w:tabs>
                <w:tab w:val="left" w:pos="1418"/>
                <w:tab w:val="left" w:pos="4111"/>
              </w:tabs>
              <w:jc w:val="both"/>
              <w:rPr>
                <w:rFonts w:ascii="Corbel" w:hAnsi="Corbel" w:cs="Calibri"/>
                <w:color w:val="000000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8DAC" w14:textId="77777777" w:rsidR="00B634EC" w:rsidRPr="008000DD" w:rsidRDefault="00B634EC" w:rsidP="00B634EC">
            <w:pPr>
              <w:tabs>
                <w:tab w:val="left" w:pos="1418"/>
                <w:tab w:val="left" w:pos="4111"/>
              </w:tabs>
              <w:jc w:val="both"/>
              <w:rPr>
                <w:rFonts w:ascii="Corbel" w:hAnsi="Corbel" w:cs="Calibri"/>
                <w:color w:val="000000"/>
              </w:rPr>
            </w:pPr>
          </w:p>
        </w:tc>
      </w:tr>
    </w:tbl>
    <w:p w14:paraId="11418F5C" w14:textId="5EB82B9D" w:rsidR="001A56CA" w:rsidRDefault="001A56CA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1B257E23" w14:textId="77777777" w:rsidR="001A56CA" w:rsidRPr="00934F3F" w:rsidRDefault="001A56CA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1A56CA" w:rsidRPr="00934F3F" w:rsidSect="003B0283">
      <w:pgSz w:w="11906" w:h="16838"/>
      <w:pgMar w:top="720" w:right="282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ACD86" w14:textId="77777777" w:rsidR="00256923" w:rsidRDefault="00256923" w:rsidP="00812F48">
      <w:pPr>
        <w:spacing w:after="0" w:line="240" w:lineRule="auto"/>
      </w:pPr>
      <w:r>
        <w:separator/>
      </w:r>
    </w:p>
  </w:endnote>
  <w:endnote w:type="continuationSeparator" w:id="0">
    <w:p w14:paraId="6E152B31" w14:textId="77777777" w:rsidR="00256923" w:rsidRDefault="00256923" w:rsidP="0081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A730F" w14:textId="77777777" w:rsidR="00256923" w:rsidRDefault="00256923" w:rsidP="00812F48">
      <w:pPr>
        <w:spacing w:after="0" w:line="240" w:lineRule="auto"/>
      </w:pPr>
      <w:r>
        <w:separator/>
      </w:r>
    </w:p>
  </w:footnote>
  <w:footnote w:type="continuationSeparator" w:id="0">
    <w:p w14:paraId="6CE8C1A9" w14:textId="77777777" w:rsidR="00256923" w:rsidRDefault="00256923" w:rsidP="00812F48">
      <w:pPr>
        <w:spacing w:after="0" w:line="240" w:lineRule="auto"/>
      </w:pPr>
      <w:r>
        <w:continuationSeparator/>
      </w:r>
    </w:p>
  </w:footnote>
  <w:footnote w:id="1">
    <w:p w14:paraId="21922535" w14:textId="311BC317" w:rsidR="006A12C3" w:rsidRPr="006A12C3" w:rsidRDefault="006A12C3">
      <w:pPr>
        <w:pStyle w:val="FootnoteText"/>
      </w:pPr>
      <w:r>
        <w:rPr>
          <w:rStyle w:val="FootnoteReference"/>
        </w:rPr>
        <w:footnoteRef/>
      </w:r>
      <w:r>
        <w:t xml:space="preserve"> Some NT tenements have Status </w:t>
      </w:r>
      <w:r>
        <w:rPr>
          <w:b/>
        </w:rPr>
        <w:t>?Issued?</w:t>
      </w:r>
      <w:r>
        <w:t>. This Action Definition would need to be modified if actions are required for this status</w:t>
      </w:r>
    </w:p>
  </w:footnote>
  <w:footnote w:id="2">
    <w:p w14:paraId="5CF88191" w14:textId="48642E18" w:rsidR="00A63FA3" w:rsidRDefault="00A63FA3" w:rsidP="00A63F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000DD" w:rsidRPr="00901B11">
        <w:t>Interval</w:t>
      </w:r>
      <w:r w:rsidRPr="00901B11">
        <w:t>s</w:t>
      </w:r>
      <w:r>
        <w:t xml:space="preserve"> defined in the Applies To list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4841DD"/>
    <w:multiLevelType w:val="hybridMultilevel"/>
    <w:tmpl w:val="1506F0D4"/>
    <w:lvl w:ilvl="0" w:tplc="9EF22644">
      <w:start w:val="1"/>
      <w:numFmt w:val="decimal"/>
      <w:lvlText w:val="(%1)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 w16cid:durableId="1608078251">
    <w:abstractNumId w:val="1"/>
  </w:num>
  <w:num w:numId="2" w16cid:durableId="52312034">
    <w:abstractNumId w:val="0"/>
  </w:num>
  <w:num w:numId="3" w16cid:durableId="131216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06EA"/>
    <w:rsid w:val="00001469"/>
    <w:rsid w:val="00013C74"/>
    <w:rsid w:val="0003051D"/>
    <w:rsid w:val="00045FBB"/>
    <w:rsid w:val="00046CEB"/>
    <w:rsid w:val="000609D5"/>
    <w:rsid w:val="00065838"/>
    <w:rsid w:val="000723C0"/>
    <w:rsid w:val="00092044"/>
    <w:rsid w:val="000C7037"/>
    <w:rsid w:val="000E04C4"/>
    <w:rsid w:val="001112D9"/>
    <w:rsid w:val="00115EB4"/>
    <w:rsid w:val="00150F98"/>
    <w:rsid w:val="00153B19"/>
    <w:rsid w:val="00175635"/>
    <w:rsid w:val="00183D4B"/>
    <w:rsid w:val="00184F05"/>
    <w:rsid w:val="0019378C"/>
    <w:rsid w:val="001A56CA"/>
    <w:rsid w:val="001B30D4"/>
    <w:rsid w:val="001D7433"/>
    <w:rsid w:val="001D7733"/>
    <w:rsid w:val="001E13D3"/>
    <w:rsid w:val="001F3012"/>
    <w:rsid w:val="0021180A"/>
    <w:rsid w:val="00212E74"/>
    <w:rsid w:val="00222746"/>
    <w:rsid w:val="00231448"/>
    <w:rsid w:val="00233E19"/>
    <w:rsid w:val="00237883"/>
    <w:rsid w:val="00245C9B"/>
    <w:rsid w:val="002529EC"/>
    <w:rsid w:val="00256923"/>
    <w:rsid w:val="002912AC"/>
    <w:rsid w:val="00291A38"/>
    <w:rsid w:val="0029668B"/>
    <w:rsid w:val="00297203"/>
    <w:rsid w:val="002B602D"/>
    <w:rsid w:val="002C60B7"/>
    <w:rsid w:val="002D6F93"/>
    <w:rsid w:val="002F3E8D"/>
    <w:rsid w:val="00305C74"/>
    <w:rsid w:val="0031442C"/>
    <w:rsid w:val="00334530"/>
    <w:rsid w:val="0035472F"/>
    <w:rsid w:val="00391864"/>
    <w:rsid w:val="003A1092"/>
    <w:rsid w:val="003A4DDB"/>
    <w:rsid w:val="003B0283"/>
    <w:rsid w:val="003B7572"/>
    <w:rsid w:val="003C5BBF"/>
    <w:rsid w:val="003E0486"/>
    <w:rsid w:val="003E7E8F"/>
    <w:rsid w:val="003F0CCE"/>
    <w:rsid w:val="003F0EAB"/>
    <w:rsid w:val="003F53C8"/>
    <w:rsid w:val="003F6BCB"/>
    <w:rsid w:val="003F78F0"/>
    <w:rsid w:val="0043712D"/>
    <w:rsid w:val="00441A77"/>
    <w:rsid w:val="00443385"/>
    <w:rsid w:val="004512C5"/>
    <w:rsid w:val="004523D8"/>
    <w:rsid w:val="00452C38"/>
    <w:rsid w:val="00457829"/>
    <w:rsid w:val="004C1253"/>
    <w:rsid w:val="004D593E"/>
    <w:rsid w:val="004D5989"/>
    <w:rsid w:val="00513CC7"/>
    <w:rsid w:val="005309F5"/>
    <w:rsid w:val="00540081"/>
    <w:rsid w:val="00557E14"/>
    <w:rsid w:val="00595154"/>
    <w:rsid w:val="005A3F92"/>
    <w:rsid w:val="005B2322"/>
    <w:rsid w:val="005B70E0"/>
    <w:rsid w:val="0061598A"/>
    <w:rsid w:val="006216E1"/>
    <w:rsid w:val="006275EC"/>
    <w:rsid w:val="00645992"/>
    <w:rsid w:val="006537AD"/>
    <w:rsid w:val="00653FFF"/>
    <w:rsid w:val="00673CE1"/>
    <w:rsid w:val="006A12C3"/>
    <w:rsid w:val="006A3414"/>
    <w:rsid w:val="006B4956"/>
    <w:rsid w:val="006D7216"/>
    <w:rsid w:val="006E460E"/>
    <w:rsid w:val="006F38D1"/>
    <w:rsid w:val="00712590"/>
    <w:rsid w:val="0072257E"/>
    <w:rsid w:val="0073708F"/>
    <w:rsid w:val="00783BA3"/>
    <w:rsid w:val="00794605"/>
    <w:rsid w:val="007A28E5"/>
    <w:rsid w:val="007B0278"/>
    <w:rsid w:val="008000DD"/>
    <w:rsid w:val="00812F48"/>
    <w:rsid w:val="00815089"/>
    <w:rsid w:val="00840367"/>
    <w:rsid w:val="00851546"/>
    <w:rsid w:val="008530FC"/>
    <w:rsid w:val="008640B0"/>
    <w:rsid w:val="00865499"/>
    <w:rsid w:val="008722A3"/>
    <w:rsid w:val="008800F8"/>
    <w:rsid w:val="00886A5D"/>
    <w:rsid w:val="00891695"/>
    <w:rsid w:val="008926D0"/>
    <w:rsid w:val="00896A46"/>
    <w:rsid w:val="008C000B"/>
    <w:rsid w:val="008D4FBB"/>
    <w:rsid w:val="008E2879"/>
    <w:rsid w:val="008E3705"/>
    <w:rsid w:val="00901B11"/>
    <w:rsid w:val="009176AF"/>
    <w:rsid w:val="009267D9"/>
    <w:rsid w:val="0093041B"/>
    <w:rsid w:val="00934F3F"/>
    <w:rsid w:val="00943BD8"/>
    <w:rsid w:val="009608AE"/>
    <w:rsid w:val="00987043"/>
    <w:rsid w:val="00995FE6"/>
    <w:rsid w:val="009A11E8"/>
    <w:rsid w:val="009A3889"/>
    <w:rsid w:val="009B4BEE"/>
    <w:rsid w:val="009D2DF4"/>
    <w:rsid w:val="009E4265"/>
    <w:rsid w:val="009F12FC"/>
    <w:rsid w:val="009F4FEB"/>
    <w:rsid w:val="00A150CF"/>
    <w:rsid w:val="00A301CB"/>
    <w:rsid w:val="00A32AC3"/>
    <w:rsid w:val="00A33A0B"/>
    <w:rsid w:val="00A35672"/>
    <w:rsid w:val="00A35AAB"/>
    <w:rsid w:val="00A569B6"/>
    <w:rsid w:val="00A63FA3"/>
    <w:rsid w:val="00A77449"/>
    <w:rsid w:val="00AA436C"/>
    <w:rsid w:val="00AA6931"/>
    <w:rsid w:val="00AD303A"/>
    <w:rsid w:val="00AF1004"/>
    <w:rsid w:val="00B024C8"/>
    <w:rsid w:val="00B026BE"/>
    <w:rsid w:val="00B047FD"/>
    <w:rsid w:val="00B24A05"/>
    <w:rsid w:val="00B340AC"/>
    <w:rsid w:val="00B419CE"/>
    <w:rsid w:val="00B453E0"/>
    <w:rsid w:val="00B46BCE"/>
    <w:rsid w:val="00B5679D"/>
    <w:rsid w:val="00B634EC"/>
    <w:rsid w:val="00B97185"/>
    <w:rsid w:val="00BA4FC4"/>
    <w:rsid w:val="00BB3500"/>
    <w:rsid w:val="00BC45AA"/>
    <w:rsid w:val="00BE6E4A"/>
    <w:rsid w:val="00BF1349"/>
    <w:rsid w:val="00BF3C3C"/>
    <w:rsid w:val="00C30241"/>
    <w:rsid w:val="00C52659"/>
    <w:rsid w:val="00C55811"/>
    <w:rsid w:val="00C94BE5"/>
    <w:rsid w:val="00CB4CCC"/>
    <w:rsid w:val="00CD1A20"/>
    <w:rsid w:val="00CD3D59"/>
    <w:rsid w:val="00D01502"/>
    <w:rsid w:val="00D0669F"/>
    <w:rsid w:val="00D25651"/>
    <w:rsid w:val="00D25C13"/>
    <w:rsid w:val="00D33874"/>
    <w:rsid w:val="00D4513F"/>
    <w:rsid w:val="00D4555E"/>
    <w:rsid w:val="00D57DF0"/>
    <w:rsid w:val="00DC13CC"/>
    <w:rsid w:val="00DE4231"/>
    <w:rsid w:val="00DE6041"/>
    <w:rsid w:val="00DE6B3D"/>
    <w:rsid w:val="00E30691"/>
    <w:rsid w:val="00E36AB6"/>
    <w:rsid w:val="00E41751"/>
    <w:rsid w:val="00E52D43"/>
    <w:rsid w:val="00E67AAB"/>
    <w:rsid w:val="00E71792"/>
    <w:rsid w:val="00E91B3F"/>
    <w:rsid w:val="00F11EBC"/>
    <w:rsid w:val="00F90B4D"/>
    <w:rsid w:val="00F91954"/>
    <w:rsid w:val="00F93374"/>
    <w:rsid w:val="00FA56E1"/>
    <w:rsid w:val="00FB1E14"/>
    <w:rsid w:val="00FD33EE"/>
    <w:rsid w:val="00FD588D"/>
    <w:rsid w:val="00F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CBD5E"/>
  <w15:docId w15:val="{D08872C9-69C5-4359-ADC6-3D5DE9A1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paragraph" w:styleId="Heading1">
    <w:name w:val="heading 1"/>
    <w:basedOn w:val="Normal"/>
    <w:next w:val="Normal"/>
    <w:link w:val="Heading1Char"/>
    <w:uiPriority w:val="9"/>
    <w:qFormat/>
    <w:rsid w:val="00E9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56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91B3F"/>
    <w:pPr>
      <w:spacing w:after="0" w:line="240" w:lineRule="auto"/>
    </w:pPr>
    <w:rPr>
      <w:rFonts w:ascii="Corbel" w:hAnsi="Corbel"/>
      <w:sz w:val="24"/>
    </w:rPr>
  </w:style>
  <w:style w:type="paragraph" w:customStyle="1" w:styleId="Heading">
    <w:name w:val="Heading"/>
    <w:basedOn w:val="Heading1"/>
    <w:qFormat/>
    <w:rsid w:val="00E91B3F"/>
    <w:pPr>
      <w:spacing w:before="120"/>
      <w:ind w:left="-142"/>
    </w:pPr>
    <w:rPr>
      <w:rFonts w:ascii="Corbel" w:hAnsi="Corbel"/>
      <w:color w:val="000000" w:themeColor="text1"/>
      <w:sz w:val="32"/>
    </w:rPr>
  </w:style>
  <w:style w:type="character" w:customStyle="1" w:styleId="TextFieldStyleChar">
    <w:name w:val="Text Field Style Char"/>
    <w:basedOn w:val="DefaultParagraphFont"/>
    <w:link w:val="TextFieldStyle"/>
    <w:rsid w:val="00E91B3F"/>
    <w:rPr>
      <w:rFonts w:ascii="Corbel" w:hAnsi="Corbe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F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F48"/>
    <w:rPr>
      <w:vertAlign w:val="superscript"/>
    </w:rPr>
  </w:style>
  <w:style w:type="paragraph" w:styleId="Title">
    <w:name w:val="Title"/>
    <w:next w:val="Normal"/>
    <w:link w:val="TitleChar"/>
    <w:uiPriority w:val="10"/>
    <w:qFormat/>
    <w:rsid w:val="00452C38"/>
    <w:pPr>
      <w:spacing w:after="0" w:line="240" w:lineRule="auto"/>
    </w:pPr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452C38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paragraph" w:styleId="BodyText">
    <w:name w:val="Body Text"/>
    <w:basedOn w:val="Normal"/>
    <w:link w:val="BodyTextChar"/>
    <w:uiPriority w:val="99"/>
    <w:semiHidden/>
    <w:rsid w:val="00452C38"/>
    <w:pPr>
      <w:spacing w:after="120" w:line="240" w:lineRule="auto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52C38"/>
    <w:rPr>
      <w:rFonts w:ascii="Arial" w:eastAsia="Calibri" w:hAnsi="Arial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6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00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6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6EA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E7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t.gov.au/industry/mining-and-petroleum/mineral-titles/mineral-titles-forms-and-guidelines/renewal-application-forms-and-guidelin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9B07-9018-4A5E-A568-2444D2E53BFB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130B0EDE-0530-404C-B1F4-C301D3F3C6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3BF1F-2A07-49DB-B327-9FC51396C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BEA136-5309-4CE0-AE52-B8377E9A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Burnett</dc:creator>
  <cp:keywords/>
  <dc:description/>
  <cp:lastModifiedBy>Annamarie Desfosses</cp:lastModifiedBy>
  <cp:revision>5</cp:revision>
  <cp:lastPrinted>2014-03-26T07:25:00Z</cp:lastPrinted>
  <dcterms:created xsi:type="dcterms:W3CDTF">2024-10-10T05:52:00Z</dcterms:created>
  <dcterms:modified xsi:type="dcterms:W3CDTF">2024-10-10T05:53:00Z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